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E33DBC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042B0E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C740C">
        <w:rPr>
          <w:b/>
          <w:bCs/>
        </w:rPr>
        <w:t>2</w:t>
      </w:r>
      <w:r w:rsidR="004C2139">
        <w:rPr>
          <w:b/>
          <w:bCs/>
        </w:rPr>
        <w:t>7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223403F0" w:rsidR="00304EF8" w:rsidRDefault="00042B0E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denominação de via pública.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0885396D" w14:textId="02C82926" w:rsidR="006914E8" w:rsidRPr="006914E8" w:rsidRDefault="00406B46" w:rsidP="006914E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257F7E">
        <w:rPr>
          <w:b/>
          <w:bCs/>
        </w:rPr>
        <w:t xml:space="preserve"> </w:t>
      </w:r>
      <w:r w:rsidR="006914E8" w:rsidRPr="006914E8">
        <w:rPr>
          <w:rFonts w:eastAsia="Calibri"/>
        </w:rPr>
        <w:t>Fica alterada para Rua Nelson Lopes da Fonte, cujos dados biográficos</w:t>
      </w:r>
      <w:r w:rsidR="006914E8">
        <w:rPr>
          <w:rFonts w:eastAsia="Calibri"/>
        </w:rPr>
        <w:t xml:space="preserve"> </w:t>
      </w:r>
      <w:r w:rsidR="006914E8" w:rsidRPr="006914E8">
        <w:rPr>
          <w:rFonts w:eastAsia="Calibri"/>
        </w:rPr>
        <w:t>acompanham a presente lei, a atual Rua "Sem nome", localizada no Bairro de Taboão,</w:t>
      </w:r>
      <w:r w:rsidR="006914E8">
        <w:rPr>
          <w:rFonts w:eastAsia="Calibri"/>
        </w:rPr>
        <w:t xml:space="preserve"> </w:t>
      </w:r>
      <w:r w:rsidR="006914E8" w:rsidRPr="006914E8">
        <w:rPr>
          <w:rFonts w:eastAsia="Calibri"/>
        </w:rPr>
        <w:t>com início na Estrada Mauro Auricchio e final em terrenos particulares, com código de</w:t>
      </w:r>
      <w:r w:rsidR="006914E8">
        <w:rPr>
          <w:rFonts w:eastAsia="Calibri"/>
        </w:rPr>
        <w:t xml:space="preserve"> </w:t>
      </w:r>
      <w:r w:rsidR="006914E8" w:rsidRPr="006914E8">
        <w:rPr>
          <w:rFonts w:eastAsia="Calibri"/>
        </w:rPr>
        <w:t>logradouro 22.054-0.</w:t>
      </w:r>
    </w:p>
    <w:p w14:paraId="1BB4D125" w14:textId="77777777" w:rsidR="006914E8" w:rsidRDefault="006914E8" w:rsidP="006914E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729861" w14:textId="210981CC" w:rsidR="00702858" w:rsidRDefault="006914E8" w:rsidP="006914E8">
      <w:pPr>
        <w:autoSpaceDE w:val="0"/>
        <w:autoSpaceDN w:val="0"/>
        <w:adjustRightInd w:val="0"/>
        <w:ind w:firstLine="4502"/>
        <w:jc w:val="both"/>
      </w:pPr>
      <w:r w:rsidRPr="006914E8">
        <w:rPr>
          <w:rFonts w:eastAsia="Calibri"/>
          <w:b/>
          <w:bCs/>
        </w:rPr>
        <w:t>Art. 2</w:t>
      </w:r>
      <w:r w:rsidR="007D7481">
        <w:rPr>
          <w:rFonts w:eastAsia="Calibri"/>
          <w:b/>
          <w:bCs/>
        </w:rPr>
        <w:t>º</w:t>
      </w:r>
      <w:r w:rsidRPr="006914E8">
        <w:rPr>
          <w:rFonts w:eastAsia="Calibri"/>
        </w:rPr>
        <w:t xml:space="preserve"> Esta lei entrará em vigor na data de sua publicação.</w:t>
      </w:r>
    </w:p>
    <w:p w14:paraId="0453FB14" w14:textId="77777777" w:rsidR="004C2139" w:rsidRDefault="004C2139" w:rsidP="00702858">
      <w:pPr>
        <w:jc w:val="both"/>
      </w:pPr>
    </w:p>
    <w:p w14:paraId="4EBA28A4" w14:textId="77777777" w:rsidR="006914E8" w:rsidRDefault="006914E8" w:rsidP="00702858">
      <w:pPr>
        <w:jc w:val="both"/>
      </w:pPr>
    </w:p>
    <w:p w14:paraId="3FE211D3" w14:textId="6F9946EB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1C740C">
        <w:t>2</w:t>
      </w:r>
      <w:r w:rsidR="004C2139">
        <w:t>7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210F59B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1C740C">
        <w:t>2</w:t>
      </w:r>
      <w:r w:rsidR="004C2139">
        <w:t>7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08CF3D70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6914E8">
        <w:t xml:space="preserve"> VITOR SHOZO EMORI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7"/>
  </w:num>
  <w:num w:numId="3" w16cid:durableId="2132476796">
    <w:abstractNumId w:val="16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4"/>
  </w:num>
  <w:num w:numId="13" w16cid:durableId="1755739556">
    <w:abstractNumId w:val="15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481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2023-10-04T18:16:00Z</dcterms:created>
  <dcterms:modified xsi:type="dcterms:W3CDTF">2024-03-14T14:38:00Z</dcterms:modified>
</cp:coreProperties>
</file>