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14E980C1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18315C">
        <w:rPr>
          <w:b/>
          <w:bCs/>
        </w:rPr>
        <w:t>9</w:t>
      </w:r>
      <w:r w:rsidR="00195C2F">
        <w:rPr>
          <w:b/>
          <w:bCs/>
        </w:rPr>
        <w:t>/</w:t>
      </w:r>
      <w:r w:rsidR="002D7B62" w:rsidRPr="007B7A18">
        <w:rPr>
          <w:b/>
          <w:bCs/>
        </w:rPr>
        <w:t>202</w:t>
      </w:r>
      <w:r w:rsidR="00195C2F">
        <w:rPr>
          <w:b/>
          <w:bCs/>
        </w:rPr>
        <w:t>4</w:t>
      </w:r>
    </w:p>
    <w:p w14:paraId="22988725" w14:textId="77777777" w:rsidR="002D7B62" w:rsidRDefault="002D7B62" w:rsidP="002D7B62"/>
    <w:p w14:paraId="50855382" w14:textId="656E1BDF" w:rsidR="002D7B62" w:rsidRDefault="00F16418" w:rsidP="009712E4">
      <w:pPr>
        <w:ind w:left="5103"/>
        <w:jc w:val="both"/>
      </w:pPr>
      <w:r>
        <w:t xml:space="preserve">Altera </w:t>
      </w:r>
      <w:r w:rsidR="0018315C">
        <w:t>o artigo 157 da Lei Orgânica do Município de Mogi das Cruze</w:t>
      </w:r>
      <w:r w:rsidR="00102C3C">
        <w:t>s</w:t>
      </w:r>
      <w:r w:rsidR="0018315C">
        <w:t>, e dá outras providências.</w:t>
      </w:r>
    </w:p>
    <w:p w14:paraId="25E17D7E" w14:textId="77777777" w:rsidR="002D7B62" w:rsidRDefault="002D7B62" w:rsidP="002D7B62"/>
    <w:p w14:paraId="7F927595" w14:textId="4C4D4412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163C48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44C5149F" w14:textId="50C58975" w:rsidR="0018315C" w:rsidRPr="0018315C" w:rsidRDefault="00A60A2E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18315C" w:rsidRPr="0018315C">
        <w:rPr>
          <w:rFonts w:eastAsia="Calibri"/>
          <w:sz w:val="22"/>
          <w:szCs w:val="22"/>
        </w:rPr>
        <w:t>O artigo 157 da Lei Orgânica Municipal passa a vigorar com a</w:t>
      </w:r>
      <w:r w:rsidR="0018315C">
        <w:rPr>
          <w:rFonts w:eastAsia="Calibri"/>
          <w:sz w:val="22"/>
          <w:szCs w:val="22"/>
        </w:rPr>
        <w:t xml:space="preserve"> </w:t>
      </w:r>
      <w:r w:rsidR="0018315C" w:rsidRPr="0018315C">
        <w:rPr>
          <w:rFonts w:eastAsia="Calibri"/>
          <w:sz w:val="22"/>
          <w:szCs w:val="22"/>
        </w:rPr>
        <w:t>seguinte redação:</w:t>
      </w:r>
    </w:p>
    <w:p w14:paraId="715FFBF4" w14:textId="77777777" w:rsidR="0018315C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43390AF2" w14:textId="0D4F40B1" w:rsidR="0018315C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18315C">
        <w:rPr>
          <w:rFonts w:eastAsia="Calibri"/>
          <w:sz w:val="22"/>
          <w:szCs w:val="22"/>
        </w:rPr>
        <w:t>"Art. 157. O Plano Diretor estabelecerá normas legais e diretrizes técnicas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para o desenvolvimento do município, sob os aspectos físico, social,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econômico e administrativo, observada a legislação federal e estadual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concernente ao assunto, bem como as seguintes disposições:</w:t>
      </w:r>
    </w:p>
    <w:p w14:paraId="01734C4C" w14:textId="77777777" w:rsidR="0018315C" w:rsidRPr="0018315C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55890431" w14:textId="50B82EFF" w:rsidR="0018315C" w:rsidRPr="0018315C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18315C">
        <w:rPr>
          <w:rFonts w:eastAsia="Calibri"/>
          <w:b/>
          <w:bCs/>
          <w:sz w:val="22"/>
          <w:szCs w:val="22"/>
        </w:rPr>
        <w:t>I -</w:t>
      </w:r>
      <w:r w:rsidRPr="0018315C">
        <w:rPr>
          <w:rFonts w:eastAsia="Calibri"/>
          <w:sz w:val="22"/>
          <w:szCs w:val="22"/>
        </w:rPr>
        <w:t xml:space="preserve"> em projetos de loteamento, as áreas verdes ou institucionais não poderão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ter alterados sua destinação, fim e objetivos, originariamente estabelecidos,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salvo em situações excepcionais devidamente justificadas mediante análise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das Secretarias competentes, que envolvam necessidade ou utilidade pública,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interesse social ou contenção de áreas de risco, desde que adotadas medidas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mitigatórias e/ou compensatórias de natureza ambiental, na forma da lei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específica;</w:t>
      </w:r>
    </w:p>
    <w:p w14:paraId="5F40DA04" w14:textId="77777777" w:rsidR="0018315C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563A29A5" w14:textId="09F73F16" w:rsidR="0018315C" w:rsidRPr="0018315C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18315C">
        <w:rPr>
          <w:rFonts w:eastAsia="Calibri"/>
          <w:b/>
          <w:bCs/>
          <w:sz w:val="22"/>
          <w:szCs w:val="22"/>
        </w:rPr>
        <w:t>II -</w:t>
      </w:r>
      <w:r w:rsidRPr="0018315C">
        <w:rPr>
          <w:rFonts w:eastAsia="Calibri"/>
          <w:sz w:val="22"/>
          <w:szCs w:val="22"/>
        </w:rPr>
        <w:t xml:space="preserve"> será resguardada a compatibilização entre suas diretrizes e os planos,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programas e projetos de transporte, sistema viário, habitação, saneamento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básico e a localização de equipamentos de saúde, educação, cultura, lazer,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 xml:space="preserve">segurança, comunicação e esporte". </w:t>
      </w:r>
    </w:p>
    <w:p w14:paraId="31825857" w14:textId="77777777" w:rsidR="0018315C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607AABB" w14:textId="52BD4C67" w:rsidR="00A60A2E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18315C">
        <w:rPr>
          <w:rFonts w:eastAsia="Calibri"/>
          <w:b/>
          <w:bCs/>
          <w:sz w:val="22"/>
          <w:szCs w:val="22"/>
        </w:rPr>
        <w:t>Art. 2</w:t>
      </w:r>
      <w:r>
        <w:rPr>
          <w:rFonts w:eastAsia="Calibri"/>
          <w:b/>
          <w:bCs/>
          <w:sz w:val="22"/>
          <w:szCs w:val="22"/>
        </w:rPr>
        <w:t>º</w:t>
      </w:r>
      <w:r w:rsidRPr="0018315C">
        <w:rPr>
          <w:rFonts w:eastAsia="Calibri"/>
          <w:sz w:val="22"/>
          <w:szCs w:val="22"/>
        </w:rPr>
        <w:t xml:space="preserve"> O Poder Executivo poderá editar normas administrativas</w:t>
      </w:r>
      <w:r>
        <w:rPr>
          <w:rFonts w:eastAsia="Calibri"/>
          <w:sz w:val="22"/>
          <w:szCs w:val="22"/>
        </w:rPr>
        <w:t xml:space="preserve"> </w:t>
      </w:r>
      <w:r w:rsidRPr="0018315C">
        <w:rPr>
          <w:rFonts w:eastAsia="Calibri"/>
          <w:sz w:val="22"/>
          <w:szCs w:val="22"/>
        </w:rPr>
        <w:t>complementares necessárias à execução do presente diploma.</w:t>
      </w:r>
    </w:p>
    <w:p w14:paraId="7BD8D117" w14:textId="77777777" w:rsidR="0018315C" w:rsidRDefault="0018315C" w:rsidP="0018315C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D0CDFAB" w14:textId="3215A58F" w:rsidR="0018315C" w:rsidRDefault="0018315C" w:rsidP="0018315C">
      <w:pPr>
        <w:autoSpaceDE w:val="0"/>
        <w:autoSpaceDN w:val="0"/>
        <w:adjustRightInd w:val="0"/>
        <w:ind w:firstLine="4502"/>
        <w:jc w:val="both"/>
      </w:pPr>
      <w:r w:rsidRPr="0018315C">
        <w:rPr>
          <w:b/>
          <w:bCs/>
        </w:rPr>
        <w:t>Art. 3º</w:t>
      </w:r>
      <w:r>
        <w:t xml:space="preserve"> Esta Emenda à Lei Orgânica do Município entrará em vigor na data de sua publicação.</w:t>
      </w:r>
    </w:p>
    <w:p w14:paraId="6810A48C" w14:textId="77777777" w:rsidR="00F16418" w:rsidRDefault="00F16418" w:rsidP="00796E83">
      <w:pPr>
        <w:ind w:firstLine="4502"/>
        <w:jc w:val="both"/>
      </w:pPr>
    </w:p>
    <w:p w14:paraId="74DEBBBA" w14:textId="77777777" w:rsidR="0018315C" w:rsidRDefault="0018315C" w:rsidP="00796E83">
      <w:pPr>
        <w:ind w:firstLine="4502"/>
        <w:jc w:val="both"/>
      </w:pPr>
    </w:p>
    <w:p w14:paraId="5180F629" w14:textId="31FD1724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F16418">
        <w:t>06</w:t>
      </w:r>
      <w:r w:rsidR="002D7B62">
        <w:t xml:space="preserve"> de </w:t>
      </w:r>
      <w:r w:rsidR="00F16418">
        <w:t>junho</w:t>
      </w:r>
      <w:r w:rsidR="002D7B62">
        <w:t xml:space="preserve"> de 202</w:t>
      </w:r>
      <w:r w:rsidR="00195C2F">
        <w:t>4</w:t>
      </w:r>
      <w:r w:rsidR="002D7B62">
        <w:t>, 4</w:t>
      </w:r>
      <w:r w:rsidR="00796E83">
        <w:t>6</w:t>
      </w:r>
      <w:r w:rsidR="00195C2F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58FBD68" w:rsidR="002D7B62" w:rsidRDefault="00195C2F" w:rsidP="007B7A18">
      <w:pPr>
        <w:jc w:val="center"/>
      </w:pPr>
      <w:r>
        <w:t>JOSÉ FRANCIMÁRIO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79D2CD69" w:rsidR="001E652D" w:rsidRDefault="00195C2F" w:rsidP="006626ED">
      <w:pPr>
        <w:jc w:val="center"/>
      </w:pPr>
      <w:r>
        <w:t xml:space="preserve">EDSON DOS SANTOS 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7BC0DDE2" w14:textId="77777777" w:rsidR="006626ED" w:rsidRDefault="006626ED" w:rsidP="006626ED">
      <w:pPr>
        <w:jc w:val="center"/>
      </w:pPr>
    </w:p>
    <w:p w14:paraId="5D5CD37B" w14:textId="77777777" w:rsidR="006626ED" w:rsidRDefault="006626ED" w:rsidP="006626ED">
      <w:pPr>
        <w:jc w:val="center"/>
      </w:pPr>
    </w:p>
    <w:p w14:paraId="562A25BD" w14:textId="34E581E7" w:rsidR="006626ED" w:rsidRDefault="00195C2F" w:rsidP="006626ED">
      <w:pPr>
        <w:jc w:val="center"/>
      </w:pPr>
      <w:r>
        <w:t>CARLOS LUCAREFSKI</w:t>
      </w:r>
    </w:p>
    <w:p w14:paraId="29F698A1" w14:textId="77777777" w:rsidR="006626ED" w:rsidRDefault="006626ED" w:rsidP="006626ED">
      <w:pPr>
        <w:jc w:val="center"/>
      </w:pPr>
      <w:r>
        <w:t xml:space="preserve">2º Secretário </w:t>
      </w:r>
    </w:p>
    <w:p w14:paraId="625319F1" w14:textId="77777777" w:rsidR="006626ED" w:rsidRDefault="006626ED" w:rsidP="007B7A18">
      <w:pPr>
        <w:ind w:firstLine="4502"/>
        <w:jc w:val="both"/>
      </w:pPr>
    </w:p>
    <w:p w14:paraId="4D7433F3" w14:textId="77777777" w:rsidR="006626ED" w:rsidRDefault="006626ED" w:rsidP="007B7A18">
      <w:pPr>
        <w:ind w:firstLine="4502"/>
        <w:jc w:val="both"/>
      </w:pPr>
    </w:p>
    <w:p w14:paraId="1B9C6807" w14:textId="62EACAFE" w:rsidR="002D7B62" w:rsidRDefault="00195C2F" w:rsidP="00796E83">
      <w:pPr>
        <w:ind w:firstLine="4502"/>
        <w:jc w:val="both"/>
      </w:pPr>
      <w:r>
        <w:t>Registrada na</w:t>
      </w:r>
      <w:r w:rsidR="002D7B62"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AC3E12">
        <w:t>06</w:t>
      </w:r>
      <w:r w:rsidR="00A5464D">
        <w:t xml:space="preserve"> </w:t>
      </w:r>
      <w:r w:rsidR="00C22F50">
        <w:t xml:space="preserve">de </w:t>
      </w:r>
      <w:r w:rsidR="00AC3E12">
        <w:t>junho</w:t>
      </w:r>
      <w:r w:rsidR="00C22F50">
        <w:t xml:space="preserve"> de 202</w:t>
      </w:r>
      <w:r>
        <w:t>4</w:t>
      </w:r>
      <w:r w:rsidR="00C22F50">
        <w:t>, 4</w:t>
      </w:r>
      <w:r w:rsidR="00796E83">
        <w:t>6</w:t>
      </w:r>
      <w:r>
        <w:t>3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27F8ADE1" w:rsidR="00C22F50" w:rsidRDefault="006626ED" w:rsidP="00C22F50">
      <w:pPr>
        <w:jc w:val="center"/>
      </w:pPr>
      <w:r>
        <w:t>PAULO SOARES</w:t>
      </w:r>
    </w:p>
    <w:p w14:paraId="0D4619DF" w14:textId="7DB81F5A" w:rsidR="00C22F50" w:rsidRDefault="006626ED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1A197D69" w14:textId="77777777" w:rsidR="00676B11" w:rsidRDefault="00676B11" w:rsidP="007B7A18">
      <w:pPr>
        <w:ind w:firstLine="4502"/>
        <w:jc w:val="both"/>
      </w:pPr>
    </w:p>
    <w:p w14:paraId="7194DF1F" w14:textId="37E49A58" w:rsidR="00676B11" w:rsidRDefault="00676B11" w:rsidP="00F16418">
      <w:pPr>
        <w:jc w:val="center"/>
      </w:pPr>
      <w:r>
        <w:t>A</w:t>
      </w:r>
      <w:r w:rsidR="00195C2F">
        <w:t>utoria do Projeto:</w:t>
      </w:r>
      <w:r w:rsidR="000A6E0A">
        <w:t xml:space="preserve"> Prefeito Municipal</w:t>
      </w:r>
    </w:p>
    <w:p w14:paraId="076904F3" w14:textId="77777777" w:rsidR="00676B11" w:rsidRDefault="00676B11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A6E0A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2C3C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63C48"/>
    <w:rsid w:val="00170961"/>
    <w:rsid w:val="00172054"/>
    <w:rsid w:val="00172784"/>
    <w:rsid w:val="00173ADD"/>
    <w:rsid w:val="00182841"/>
    <w:rsid w:val="0018315C"/>
    <w:rsid w:val="00184CD2"/>
    <w:rsid w:val="00184CDA"/>
    <w:rsid w:val="0019406A"/>
    <w:rsid w:val="00194490"/>
    <w:rsid w:val="00195C2F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302C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3E12"/>
    <w:rsid w:val="00AC41DC"/>
    <w:rsid w:val="00AC745A"/>
    <w:rsid w:val="00AD19FD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BFB"/>
    <w:rsid w:val="00F05F9E"/>
    <w:rsid w:val="00F06212"/>
    <w:rsid w:val="00F07607"/>
    <w:rsid w:val="00F122FB"/>
    <w:rsid w:val="00F14412"/>
    <w:rsid w:val="00F15F70"/>
    <w:rsid w:val="00F16418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2024-06-27T17:38:00Z</dcterms:created>
  <dcterms:modified xsi:type="dcterms:W3CDTF">2024-06-27T18:23:00Z</dcterms:modified>
</cp:coreProperties>
</file>