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430F2C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D22600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E0E08B" w14:textId="09026724" w:rsidR="00E71A20" w:rsidRDefault="00E71A20" w:rsidP="00D2260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E71A20">
        <w:rPr>
          <w:rFonts w:eastAsia="Calibri"/>
        </w:rPr>
        <w:t xml:space="preserve">Dispõe sobre </w:t>
      </w:r>
      <w:r w:rsidR="00D22600" w:rsidRPr="00D22600">
        <w:rPr>
          <w:rFonts w:eastAsia="Calibri"/>
        </w:rPr>
        <w:t>o incentivo fiscal para a</w:t>
      </w:r>
      <w:r w:rsidR="00D22600">
        <w:rPr>
          <w:rFonts w:eastAsia="Calibri"/>
        </w:rPr>
        <w:t xml:space="preserve"> </w:t>
      </w:r>
      <w:r w:rsidR="00D22600" w:rsidRPr="00D22600">
        <w:rPr>
          <w:rFonts w:eastAsia="Calibri"/>
        </w:rPr>
        <w:t>realização de projetos culturais no âmbito do</w:t>
      </w:r>
      <w:r w:rsidR="00D22600">
        <w:rPr>
          <w:rFonts w:eastAsia="Calibri"/>
        </w:rPr>
        <w:t xml:space="preserve"> </w:t>
      </w:r>
      <w:r w:rsidR="00D22600" w:rsidRPr="00D22600">
        <w:rPr>
          <w:rFonts w:eastAsia="Calibri"/>
        </w:rPr>
        <w:t>Município de Mogi das Cruzes; revoga a Lei</w:t>
      </w:r>
      <w:r w:rsidR="00D22600">
        <w:rPr>
          <w:rFonts w:eastAsia="Calibri"/>
        </w:rPr>
        <w:t xml:space="preserve"> </w:t>
      </w:r>
      <w:r w:rsidR="00D22600" w:rsidRPr="00D22600">
        <w:rPr>
          <w:rFonts w:eastAsia="Calibri"/>
        </w:rPr>
        <w:t>nº 6.959, de 17 de setembro de 2014, e dá</w:t>
      </w:r>
      <w:r w:rsidR="00D22600">
        <w:rPr>
          <w:rFonts w:eastAsia="Calibri"/>
        </w:rPr>
        <w:t xml:space="preserve"> </w:t>
      </w:r>
      <w:r w:rsidR="00D22600" w:rsidRPr="00D22600">
        <w:rPr>
          <w:rFonts w:eastAsia="Calibri"/>
        </w:rPr>
        <w:t>outras providências.</w:t>
      </w:r>
    </w:p>
    <w:p w14:paraId="4FEE0A62" w14:textId="77777777" w:rsidR="00D22600" w:rsidRPr="0070281A" w:rsidRDefault="00D22600" w:rsidP="00D2260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20D20B5B" w:rsidR="00A9362B" w:rsidRPr="00650AAA" w:rsidRDefault="003711EC" w:rsidP="00650AA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650AAA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5B0C65" w14:textId="2652482A" w:rsidR="00D22600" w:rsidRDefault="00EC081A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D22600" w:rsidRPr="00D22600">
        <w:rPr>
          <w:rFonts w:eastAsia="Calibri"/>
        </w:rPr>
        <w:t>Fica instituído, no âmbito do Município de Mogi das Cruzes, o</w:t>
      </w:r>
      <w:r w:rsidR="00D22600">
        <w:rPr>
          <w:rFonts w:eastAsia="Calibri"/>
        </w:rPr>
        <w:t xml:space="preserve"> </w:t>
      </w:r>
      <w:r w:rsidR="00D22600" w:rsidRPr="00D22600">
        <w:rPr>
          <w:rFonts w:eastAsia="Calibri"/>
        </w:rPr>
        <w:t>incentivo fiscal para a realização de ações, programas e projetos cul</w:t>
      </w:r>
      <w:r w:rsidR="00D22600">
        <w:rPr>
          <w:rFonts w:eastAsia="Calibri"/>
        </w:rPr>
        <w:t>tu</w:t>
      </w:r>
      <w:r w:rsidR="00D22600" w:rsidRPr="00D22600">
        <w:rPr>
          <w:rFonts w:eastAsia="Calibri"/>
        </w:rPr>
        <w:t>rais, a ser concedido</w:t>
      </w:r>
      <w:r w:rsidR="00D22600">
        <w:rPr>
          <w:rFonts w:eastAsia="Calibri"/>
        </w:rPr>
        <w:t xml:space="preserve"> </w:t>
      </w:r>
      <w:r w:rsidR="00D22600" w:rsidRPr="00D22600">
        <w:rPr>
          <w:rFonts w:eastAsia="Calibri"/>
        </w:rPr>
        <w:t>para pessoas físicas ou jurídicas domiciliadas ou estabelecidas no Município de Mogi das</w:t>
      </w:r>
      <w:r w:rsidR="00D22600">
        <w:rPr>
          <w:rFonts w:eastAsia="Calibri"/>
        </w:rPr>
        <w:t xml:space="preserve"> </w:t>
      </w:r>
      <w:r w:rsidR="00D22600" w:rsidRPr="00D22600">
        <w:rPr>
          <w:rFonts w:eastAsia="Calibri"/>
        </w:rPr>
        <w:t>Cruzes.</w:t>
      </w:r>
    </w:p>
    <w:p w14:paraId="207D4FDE" w14:textId="77777777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56E927" w14:textId="45A9B13B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>§ 1º</w:t>
      </w:r>
      <w:r w:rsidRPr="00D22600">
        <w:rPr>
          <w:rFonts w:eastAsia="Calibri"/>
        </w:rPr>
        <w:t xml:space="preserve"> O incentivo fiscal a que alude o </w:t>
      </w:r>
      <w:r w:rsidRPr="00875CCD">
        <w:rPr>
          <w:rFonts w:eastAsia="Calibri"/>
        </w:rPr>
        <w:t xml:space="preserve">caput </w:t>
      </w:r>
      <w:r w:rsidRPr="00D22600">
        <w:rPr>
          <w:rFonts w:eastAsia="Calibri"/>
        </w:rPr>
        <w:t>deste artigo corresponderá ao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recebimento, por parte do agente cul</w:t>
      </w:r>
      <w:r>
        <w:rPr>
          <w:rFonts w:eastAsia="Calibri"/>
        </w:rPr>
        <w:t>tural</w:t>
      </w:r>
      <w:r w:rsidRPr="00D22600">
        <w:rPr>
          <w:rFonts w:eastAsia="Calibri"/>
        </w:rPr>
        <w:t>, de qualquer projeto cul</w:t>
      </w:r>
      <w:r>
        <w:rPr>
          <w:rFonts w:eastAsia="Calibri"/>
        </w:rPr>
        <w:t>tural</w:t>
      </w:r>
      <w:r w:rsidRPr="00D22600">
        <w:rPr>
          <w:rFonts w:eastAsia="Calibri"/>
        </w:rPr>
        <w:t xml:space="preserve"> aprovado no Município,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correspondente ao valor descrito no Certificado de Aprovação, autorizado pelo Poder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Executivo.</w:t>
      </w:r>
    </w:p>
    <w:p w14:paraId="33EB0C4F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D3B3B21" w14:textId="7FEB44EF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§ 2º </w:t>
      </w:r>
      <w:r w:rsidRPr="00D22600">
        <w:rPr>
          <w:rFonts w:eastAsia="Calibri"/>
        </w:rPr>
        <w:t>Para os fins desta lei, entende-se por:</w:t>
      </w:r>
    </w:p>
    <w:p w14:paraId="5AD030C1" w14:textId="77777777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816B2F4" w14:textId="7D6B45C4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>I</w:t>
      </w:r>
      <w:r w:rsidRPr="00D22600">
        <w:rPr>
          <w:rFonts w:eastAsia="Calibri"/>
        </w:rPr>
        <w:t xml:space="preserve"> - doação: é a transferência de recursos do doador ao agente cultural para a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realização de projetos culturais sem finalidades promocionai</w:t>
      </w:r>
      <w:r>
        <w:rPr>
          <w:rFonts w:eastAsia="Calibri"/>
        </w:rPr>
        <w:t>s</w:t>
      </w:r>
      <w:r w:rsidRPr="00D22600">
        <w:rPr>
          <w:rFonts w:eastAsia="Calibri"/>
        </w:rPr>
        <w:t xml:space="preserve"> publicitárias ou de retomo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financeiro;</w:t>
      </w:r>
    </w:p>
    <w:p w14:paraId="6A4391D6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C749CB9" w14:textId="4DB209EF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>II</w:t>
      </w:r>
      <w:r w:rsidRPr="00D22600">
        <w:rPr>
          <w:rFonts w:eastAsia="Calibri"/>
        </w:rPr>
        <w:t xml:space="preserve"> - patrocínio: a transferência de recursos do patrocinador ao agente cultural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para a realização de projetos cul</w:t>
      </w:r>
      <w:r>
        <w:rPr>
          <w:rFonts w:eastAsia="Calibri"/>
        </w:rPr>
        <w:t>turais</w:t>
      </w:r>
      <w:r w:rsidRPr="00D22600">
        <w:rPr>
          <w:rFonts w:eastAsia="Calibri"/>
        </w:rPr>
        <w:t xml:space="preserve"> com finalidades exclusivamente promocionais,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publicitárias ou de retomo institucional.</w:t>
      </w:r>
    </w:p>
    <w:p w14:paraId="5B78B5B5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EDD55F7" w14:textId="6C98439E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§ 3º </w:t>
      </w:r>
      <w:r w:rsidRPr="00D22600">
        <w:rPr>
          <w:rFonts w:eastAsia="Calibri"/>
        </w:rPr>
        <w:t>O incentivo para ações, programas e projetos culturais consiste na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destinação, pelo patrocinador, de até 100% (cem por cento) do montante correspondente ao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Imposto Sobre Serviços de Qualquer Natureza - ISSQN ou ao Imposto Sobre a Propriedade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 xml:space="preserve">Predial e Territorial Urbana - </w:t>
      </w:r>
      <w:r w:rsidR="0077457B">
        <w:rPr>
          <w:rFonts w:eastAsia="Calibri"/>
        </w:rPr>
        <w:t>I</w:t>
      </w:r>
      <w:r w:rsidRPr="00D22600">
        <w:rPr>
          <w:rFonts w:eastAsia="Calibri"/>
        </w:rPr>
        <w:t>PTU por ele devido.</w:t>
      </w:r>
    </w:p>
    <w:p w14:paraId="754FEEFF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A3D6254" w14:textId="07290939" w:rsidR="00AB6F77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§ 4º </w:t>
      </w:r>
      <w:r w:rsidRPr="00D22600">
        <w:rPr>
          <w:rFonts w:eastAsia="Calibri"/>
        </w:rPr>
        <w:t>Na hipótese de coexistência com outras leis municipais de incentivo, a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soma das destinações não poderá ultrapassar o limite estabelecido pelo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§ 3º deste artigo.</w:t>
      </w:r>
    </w:p>
    <w:p w14:paraId="386CAFD0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A588785" w14:textId="771258D6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§ 5º </w:t>
      </w:r>
      <w:r w:rsidRPr="00D22600">
        <w:rPr>
          <w:rFonts w:eastAsia="Calibri"/>
        </w:rPr>
        <w:t>Os benefícios da presente lei não serão concedidos a</w:t>
      </w:r>
      <w:r>
        <w:rPr>
          <w:rFonts w:eastAsia="Calibri"/>
        </w:rPr>
        <w:t xml:space="preserve"> patrocinadores que possuam débitos municipais, observadas as seguintes condições:</w:t>
      </w:r>
    </w:p>
    <w:p w14:paraId="5889FC49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2B0727F" w14:textId="5C7FEF71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I </w:t>
      </w:r>
      <w:r w:rsidRPr="00D22600">
        <w:rPr>
          <w:rFonts w:eastAsia="Calibri"/>
        </w:rPr>
        <w:t>- na hipótese de utilização do ISSQN, será exigida</w:t>
      </w:r>
      <w:r>
        <w:rPr>
          <w:rFonts w:eastAsia="Calibri"/>
        </w:rPr>
        <w:t xml:space="preserve"> a inexistência de débitos relacionados a esse imposto;</w:t>
      </w:r>
    </w:p>
    <w:p w14:paraId="4767F68D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37BA4FF" w14:textId="09D9BBEA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II </w:t>
      </w:r>
      <w:r w:rsidRPr="00D22600">
        <w:rPr>
          <w:rFonts w:eastAsia="Calibri"/>
        </w:rPr>
        <w:t>- na hipótese de utilização do IPTU, será exigida a inexistência de débitos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relativos exclusivamente ao imóvel vinculado à compensação;</w:t>
      </w:r>
    </w:p>
    <w:p w14:paraId="14ADF58A" w14:textId="77777777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10B6FCE" w14:textId="5F8E3E70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lastRenderedPageBreak/>
        <w:t xml:space="preserve">III </w:t>
      </w:r>
      <w:r w:rsidRPr="00D22600">
        <w:rPr>
          <w:rFonts w:eastAsia="Calibri"/>
        </w:rPr>
        <w:t>- eventuais débitos existentes em outros imóveis ou de outra natureza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tributária não constituem impedimento à concessão do benefício.</w:t>
      </w:r>
    </w:p>
    <w:p w14:paraId="2C4ADC55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3632942" w14:textId="1113499D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§ 6º </w:t>
      </w:r>
      <w:r w:rsidRPr="00D22600">
        <w:rPr>
          <w:rFonts w:eastAsia="Calibri"/>
        </w:rPr>
        <w:t>O Poder Executivo Municipal fixará, anualmente, o valor a ser destinado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ao incentivo a projetos culturais, que não poderá ser superior a 3% (três por cento) e nem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inferior a 1,5% (um e meio por cento) das receitas do IPTU e do ISSQN arrecadadas no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exercício imediatamente anterior.</w:t>
      </w:r>
    </w:p>
    <w:p w14:paraId="708D03A4" w14:textId="77777777" w:rsidR="004149F6" w:rsidRDefault="004149F6" w:rsidP="00D2260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32673DA" w14:textId="14DCAAB1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>§ 7</w:t>
      </w:r>
      <w:r>
        <w:rPr>
          <w:rFonts w:eastAsia="Calibri"/>
          <w:b/>
          <w:bCs/>
        </w:rPr>
        <w:t>º</w:t>
      </w:r>
      <w:r w:rsidRPr="00D22600">
        <w:rPr>
          <w:rFonts w:eastAsia="Calibri"/>
        </w:rPr>
        <w:t xml:space="preserve"> O valor preconizado no § 6° deste artigo constitui unicamente o teto de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 xml:space="preserve">recursos disponíveis para captação, não se confundindo com a </w:t>
      </w:r>
      <w:r>
        <w:rPr>
          <w:rFonts w:eastAsia="Calibri"/>
        </w:rPr>
        <w:t>s</w:t>
      </w:r>
      <w:r w:rsidRPr="00D22600">
        <w:rPr>
          <w:rFonts w:eastAsia="Calibri"/>
        </w:rPr>
        <w:t>oma dos valores dos projetos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aprovados, por representarem fases distintas do processo.</w:t>
      </w:r>
    </w:p>
    <w:p w14:paraId="743CDD59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9BFEBE9" w14:textId="7D7C320B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§ 8º </w:t>
      </w:r>
      <w:r w:rsidRPr="00D22600">
        <w:rPr>
          <w:rFonts w:eastAsia="Calibri"/>
        </w:rPr>
        <w:t>Caso o limite de captação fixado em decreto anual seja atingido antes do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encerramento do exercício financeiro, ficam automaticamente suspensas novas captações até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o início do exercício subsequente.</w:t>
      </w:r>
    </w:p>
    <w:p w14:paraId="1E86E829" w14:textId="77777777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6684C3B" w14:textId="1C42C4E5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§ 9º </w:t>
      </w:r>
      <w:r w:rsidRPr="00D22600">
        <w:rPr>
          <w:rFonts w:eastAsia="Calibri"/>
        </w:rPr>
        <w:t>Os locatários de imóveis situados no Município poderão fazer jus ao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incentivo previsto neste artigo para pagamento do IPTU dos imóveis locados, desde que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sejam contratualmente responsáveis pelo pagamento ou apresentem anuência expressa do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proprietário ou responsável legal pelo imóvel.</w:t>
      </w:r>
    </w:p>
    <w:p w14:paraId="2D34E6D2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5ABF2D5" w14:textId="643503B9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Art. 2º </w:t>
      </w:r>
      <w:r w:rsidRPr="00D22600">
        <w:rPr>
          <w:rFonts w:eastAsia="Calibri"/>
        </w:rPr>
        <w:t>Os projetos culturais realizados com os recursos tratados nesta lei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deverão priorizar resultados que promovam o acesso da população às atividades culturais e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que contribuam para o fortalecimento da produção e do impacto econômico e social da cultura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no âmbito local, nos te</w:t>
      </w:r>
      <w:r w:rsidR="00213C3A">
        <w:rPr>
          <w:rFonts w:eastAsia="Calibri"/>
        </w:rPr>
        <w:t>rm</w:t>
      </w:r>
      <w:r w:rsidRPr="00D22600">
        <w:rPr>
          <w:rFonts w:eastAsia="Calibri"/>
        </w:rPr>
        <w:t>os definidos em regulamento.</w:t>
      </w:r>
    </w:p>
    <w:p w14:paraId="359FE71B" w14:textId="77777777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24C77CB" w14:textId="376487C3" w:rsid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Parágrafo único. </w:t>
      </w:r>
      <w:r w:rsidRPr="00D22600">
        <w:rPr>
          <w:rFonts w:eastAsia="Calibri"/>
        </w:rPr>
        <w:t>O Poder Executivo Municipal fixará, por decreto, o limite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máx</w:t>
      </w:r>
      <w:r>
        <w:rPr>
          <w:rFonts w:eastAsia="Calibri"/>
        </w:rPr>
        <w:t>i</w:t>
      </w:r>
      <w:r w:rsidRPr="00D22600">
        <w:rPr>
          <w:rFonts w:eastAsia="Calibri"/>
        </w:rPr>
        <w:t>mo de incentivo fiscal a ser concedido a cada projeto, o qual deverá ser definido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anualmente e não poderá ser inferior ao valor estabelecido para o exercício anterior.</w:t>
      </w:r>
    </w:p>
    <w:p w14:paraId="4F0C8957" w14:textId="77777777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A5DD877" w14:textId="2552DDCB" w:rsidR="00D22600" w:rsidRPr="00D22600" w:rsidRDefault="00D22600" w:rsidP="00D2260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22600">
        <w:rPr>
          <w:rFonts w:eastAsia="Calibri"/>
          <w:b/>
          <w:bCs/>
        </w:rPr>
        <w:t xml:space="preserve">Art. 3º </w:t>
      </w:r>
      <w:r w:rsidRPr="00D22600">
        <w:rPr>
          <w:rFonts w:eastAsia="Calibri"/>
        </w:rPr>
        <w:t>Fica autorizada a criação, junto à Secretaria de Cultura, de uma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Comissão de Análise de Projetos - CAP, independente e autônoma, formada por 4 (quatro)</w:t>
      </w:r>
    </w:p>
    <w:p w14:paraId="5A8627E6" w14:textId="45D38B96" w:rsidR="00D22600" w:rsidRDefault="00D22600" w:rsidP="00D2260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Pr="00D22600">
        <w:rPr>
          <w:rFonts w:eastAsia="Calibri"/>
        </w:rPr>
        <w:t>representantes da Sociedade Civil no setor cultural e por 3 (três) técnicos da Administração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Pública Municipal, a ser instituída e ter nomeada sua composição por meio de decreto,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ficando incumbida da averiguação, avaliação e emissão de parecer técnico relativo aos</w:t>
      </w:r>
      <w:r>
        <w:rPr>
          <w:rFonts w:eastAsia="Calibri"/>
        </w:rPr>
        <w:t xml:space="preserve"> </w:t>
      </w:r>
      <w:r w:rsidRPr="00D22600">
        <w:rPr>
          <w:rFonts w:eastAsia="Calibri"/>
        </w:rPr>
        <w:t>projetos culturais eventualmente apresentados</w:t>
      </w:r>
      <w:r>
        <w:rPr>
          <w:rFonts w:eastAsia="Calibri"/>
        </w:rPr>
        <w:t>.</w:t>
      </w:r>
    </w:p>
    <w:p w14:paraId="5194FA82" w14:textId="77777777" w:rsidR="00D22600" w:rsidRPr="00D22600" w:rsidRDefault="00D22600" w:rsidP="00D22600">
      <w:pPr>
        <w:autoSpaceDE w:val="0"/>
        <w:autoSpaceDN w:val="0"/>
        <w:adjustRightInd w:val="0"/>
        <w:jc w:val="both"/>
        <w:rPr>
          <w:rFonts w:eastAsia="Calibri"/>
        </w:rPr>
      </w:pPr>
    </w:p>
    <w:p w14:paraId="0AFFBEE3" w14:textId="65A6A209" w:rsidR="00D22600" w:rsidRDefault="00D22600" w:rsidP="003711EC">
      <w:pPr>
        <w:ind w:firstLine="4502"/>
        <w:jc w:val="both"/>
      </w:pPr>
      <w:r w:rsidRPr="00D22600">
        <w:rPr>
          <w:b/>
          <w:bCs/>
        </w:rPr>
        <w:t xml:space="preserve">§ 1° </w:t>
      </w:r>
      <w:r w:rsidRPr="00D22600">
        <w:t xml:space="preserve">Os membros da Sociedade Civil referidos no </w:t>
      </w:r>
      <w:r w:rsidRPr="004149F6">
        <w:t xml:space="preserve">caput </w:t>
      </w:r>
      <w:r w:rsidRPr="00D22600">
        <w:t>deste</w:t>
      </w:r>
      <w:r>
        <w:t xml:space="preserve"> artigo poderão ser convidados ou contratados pela Administração Pública Municipal por inexigibilidade, por meio de edital de credenciamento ou de configuração como serviço técnico especializado, condicionada à validação dos Conselhos vinculados à Secretaria de Cultura.</w:t>
      </w:r>
    </w:p>
    <w:p w14:paraId="40209274" w14:textId="77777777" w:rsidR="00D22600" w:rsidRDefault="00D22600" w:rsidP="003711EC">
      <w:pPr>
        <w:ind w:firstLine="4502"/>
        <w:jc w:val="both"/>
      </w:pPr>
    </w:p>
    <w:p w14:paraId="4A1191A7" w14:textId="4057B916" w:rsidR="00D22600" w:rsidRPr="00D22600" w:rsidRDefault="00D22600" w:rsidP="00D22600">
      <w:pPr>
        <w:ind w:firstLine="4502"/>
        <w:jc w:val="both"/>
      </w:pPr>
      <w:r w:rsidRPr="00D22600">
        <w:t xml:space="preserve">§ </w:t>
      </w:r>
      <w:r w:rsidRPr="00D22600">
        <w:rPr>
          <w:b/>
          <w:bCs/>
        </w:rPr>
        <w:t xml:space="preserve">2º </w:t>
      </w:r>
      <w:r w:rsidRPr="00D22600">
        <w:t>Os membros da Comissão de Análise de Projetos - CAP deverão ser</w:t>
      </w:r>
      <w:r>
        <w:t xml:space="preserve"> </w:t>
      </w:r>
      <w:r w:rsidRPr="00D22600">
        <w:t>pessoas de comprovada idoneidade e de reconhecida notoriedade na área cultural.</w:t>
      </w:r>
    </w:p>
    <w:p w14:paraId="264AE00D" w14:textId="77777777" w:rsidR="00D22600" w:rsidRDefault="00D22600" w:rsidP="00D22600">
      <w:pPr>
        <w:ind w:firstLine="4502"/>
        <w:jc w:val="both"/>
      </w:pPr>
    </w:p>
    <w:p w14:paraId="63DB3E57" w14:textId="173CCFAC" w:rsidR="00D22600" w:rsidRPr="00D22600" w:rsidRDefault="00D22600" w:rsidP="00D22600">
      <w:pPr>
        <w:ind w:firstLine="4502"/>
        <w:jc w:val="both"/>
      </w:pPr>
      <w:r w:rsidRPr="00D22600">
        <w:t xml:space="preserve">§ </w:t>
      </w:r>
      <w:r w:rsidRPr="00D22600">
        <w:rPr>
          <w:b/>
          <w:bCs/>
        </w:rPr>
        <w:t xml:space="preserve">3º </w:t>
      </w:r>
      <w:r w:rsidRPr="00D22600">
        <w:t>A Comissão de Análise de Projetos - CAP exercerá o mandato de 12 (doze)</w:t>
      </w:r>
      <w:r>
        <w:t xml:space="preserve"> </w:t>
      </w:r>
      <w:r w:rsidRPr="00D22600">
        <w:t>meses, podendo ser prorrogado, uma única vez, por igual período.</w:t>
      </w:r>
    </w:p>
    <w:p w14:paraId="41E4345A" w14:textId="77777777" w:rsidR="00D22600" w:rsidRDefault="00D22600" w:rsidP="00D22600">
      <w:pPr>
        <w:ind w:firstLine="4502"/>
        <w:jc w:val="both"/>
        <w:rPr>
          <w:b/>
          <w:bCs/>
        </w:rPr>
      </w:pPr>
    </w:p>
    <w:p w14:paraId="52CD58D1" w14:textId="5D6F3DCE" w:rsidR="00D22600" w:rsidRP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Art. 4º </w:t>
      </w:r>
      <w:r w:rsidRPr="00D22600">
        <w:t>São abrangidas por esta lei as seguintes áreas e suas respectivas</w:t>
      </w:r>
      <w:r>
        <w:t xml:space="preserve"> </w:t>
      </w:r>
      <w:r w:rsidRPr="00D22600">
        <w:t>linguagens artísticas:</w:t>
      </w:r>
    </w:p>
    <w:p w14:paraId="781CEB7B" w14:textId="77777777" w:rsidR="00D22600" w:rsidRDefault="00D22600" w:rsidP="00D22600">
      <w:pPr>
        <w:ind w:firstLine="4502"/>
        <w:jc w:val="both"/>
      </w:pPr>
    </w:p>
    <w:p w14:paraId="4DB2E8E9" w14:textId="1B38A533" w:rsidR="00D22600" w:rsidRDefault="00D22600" w:rsidP="00D22600">
      <w:pPr>
        <w:ind w:firstLine="4502"/>
        <w:jc w:val="both"/>
      </w:pPr>
      <w:r w:rsidRPr="00D22600">
        <w:rPr>
          <w:b/>
          <w:bCs/>
        </w:rPr>
        <w:t>I -</w:t>
      </w:r>
      <w:r w:rsidRPr="00D22600">
        <w:t xml:space="preserve"> acervos do patrimônio cultural de museus, arquivos históricos, centros</w:t>
      </w:r>
      <w:r>
        <w:t xml:space="preserve"> </w:t>
      </w:r>
      <w:r w:rsidRPr="00D22600">
        <w:t>culturais e bibliotecas;</w:t>
      </w:r>
    </w:p>
    <w:p w14:paraId="4546C074" w14:textId="77777777" w:rsidR="00D22600" w:rsidRPr="00D22600" w:rsidRDefault="00D22600" w:rsidP="00D22600">
      <w:pPr>
        <w:ind w:firstLine="4502"/>
        <w:jc w:val="both"/>
      </w:pPr>
    </w:p>
    <w:p w14:paraId="639E06A3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>II</w:t>
      </w:r>
      <w:r w:rsidRPr="00D22600">
        <w:t xml:space="preserve"> - acessibilidade e inclusão cultural;</w:t>
      </w:r>
    </w:p>
    <w:p w14:paraId="53A9AD6E" w14:textId="77777777" w:rsidR="00D22600" w:rsidRPr="00D22600" w:rsidRDefault="00D22600" w:rsidP="00D22600">
      <w:pPr>
        <w:ind w:firstLine="4502"/>
        <w:jc w:val="both"/>
      </w:pPr>
    </w:p>
    <w:p w14:paraId="40718CCE" w14:textId="59600941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III </w:t>
      </w:r>
      <w:r w:rsidRPr="00D22600">
        <w:t>- artes performáticas (circo, dança, música, teatro, etc.);</w:t>
      </w:r>
    </w:p>
    <w:p w14:paraId="16A3C17F" w14:textId="77777777" w:rsidR="00D22600" w:rsidRPr="00D22600" w:rsidRDefault="00D22600" w:rsidP="00D22600">
      <w:pPr>
        <w:ind w:firstLine="4502"/>
        <w:jc w:val="both"/>
      </w:pPr>
    </w:p>
    <w:p w14:paraId="5F33A2C3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IV </w:t>
      </w:r>
      <w:r w:rsidRPr="00D22600">
        <w:t>- artes literárias;</w:t>
      </w:r>
    </w:p>
    <w:p w14:paraId="58B3173B" w14:textId="77777777" w:rsidR="00D22600" w:rsidRPr="00D22600" w:rsidRDefault="00D22600" w:rsidP="00D22600">
      <w:pPr>
        <w:ind w:firstLine="4502"/>
        <w:jc w:val="both"/>
      </w:pPr>
    </w:p>
    <w:p w14:paraId="5AF7EA34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V </w:t>
      </w:r>
      <w:r w:rsidRPr="00D22600">
        <w:t>- artes visuais;</w:t>
      </w:r>
    </w:p>
    <w:p w14:paraId="2ED6D69D" w14:textId="77777777" w:rsidR="00D22600" w:rsidRPr="00D22600" w:rsidRDefault="00D22600" w:rsidP="00D22600">
      <w:pPr>
        <w:ind w:firstLine="4502"/>
        <w:jc w:val="both"/>
      </w:pPr>
    </w:p>
    <w:p w14:paraId="73E0C526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VI </w:t>
      </w:r>
      <w:r w:rsidRPr="00D22600">
        <w:t>- artesanato e produção artesanal;</w:t>
      </w:r>
    </w:p>
    <w:p w14:paraId="67B946EB" w14:textId="77777777" w:rsidR="00D22600" w:rsidRPr="00D22600" w:rsidRDefault="00D22600" w:rsidP="00D22600">
      <w:pPr>
        <w:ind w:firstLine="4502"/>
        <w:jc w:val="both"/>
      </w:pPr>
    </w:p>
    <w:p w14:paraId="10F8311A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VII </w:t>
      </w:r>
      <w:r w:rsidRPr="00D22600">
        <w:t>- audiovisual;</w:t>
      </w:r>
    </w:p>
    <w:p w14:paraId="15D48E24" w14:textId="77777777" w:rsidR="00D22600" w:rsidRPr="00D22600" w:rsidRDefault="00D22600" w:rsidP="00D22600">
      <w:pPr>
        <w:ind w:firstLine="4502"/>
        <w:jc w:val="both"/>
      </w:pPr>
    </w:p>
    <w:p w14:paraId="1C80744F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VIII </w:t>
      </w:r>
      <w:r w:rsidRPr="00D22600">
        <w:t>- cultura digital e novas mídias;</w:t>
      </w:r>
    </w:p>
    <w:p w14:paraId="2673A76D" w14:textId="77777777" w:rsidR="00D22600" w:rsidRPr="00D22600" w:rsidRDefault="00D22600" w:rsidP="00D22600">
      <w:pPr>
        <w:ind w:firstLine="4502"/>
        <w:jc w:val="both"/>
      </w:pPr>
    </w:p>
    <w:p w14:paraId="06FAC794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IX </w:t>
      </w:r>
      <w:r w:rsidRPr="00D22600">
        <w:t>- cultura LGBTQIAPN+;</w:t>
      </w:r>
    </w:p>
    <w:p w14:paraId="753B12D3" w14:textId="77777777" w:rsidR="00D22600" w:rsidRPr="00D22600" w:rsidRDefault="00D22600" w:rsidP="00D22600">
      <w:pPr>
        <w:ind w:firstLine="4502"/>
        <w:jc w:val="both"/>
      </w:pPr>
    </w:p>
    <w:p w14:paraId="5DC73A2D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 </w:t>
      </w:r>
      <w:r w:rsidRPr="00D22600">
        <w:t>- cultura popular;</w:t>
      </w:r>
    </w:p>
    <w:p w14:paraId="2BD355BA" w14:textId="77777777" w:rsidR="00D22600" w:rsidRPr="00D22600" w:rsidRDefault="00D22600" w:rsidP="00D22600">
      <w:pPr>
        <w:ind w:firstLine="4502"/>
        <w:jc w:val="both"/>
      </w:pPr>
    </w:p>
    <w:p w14:paraId="3F0FC024" w14:textId="6001C3BE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XI </w:t>
      </w:r>
      <w:r w:rsidRPr="00D22600">
        <w:t>- culturas tradicionais, pretas, indígenas e quilombolas;</w:t>
      </w:r>
    </w:p>
    <w:p w14:paraId="5AA2A721" w14:textId="77777777" w:rsidR="00D22600" w:rsidRPr="00D22600" w:rsidRDefault="00D22600" w:rsidP="00D22600">
      <w:pPr>
        <w:ind w:firstLine="4502"/>
        <w:jc w:val="both"/>
      </w:pPr>
    </w:p>
    <w:p w14:paraId="5A4AFF37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XII </w:t>
      </w:r>
      <w:r w:rsidRPr="00D22600">
        <w:t>- diversidade e políticas afirmativas;</w:t>
      </w:r>
    </w:p>
    <w:p w14:paraId="707A0A02" w14:textId="77777777" w:rsidR="00D22600" w:rsidRPr="00D22600" w:rsidRDefault="00D22600" w:rsidP="00D22600">
      <w:pPr>
        <w:ind w:firstLine="4502"/>
        <w:jc w:val="both"/>
      </w:pPr>
    </w:p>
    <w:p w14:paraId="0A2DCE87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XIII </w:t>
      </w:r>
      <w:r w:rsidRPr="00D22600">
        <w:t>- economia criativa;</w:t>
      </w:r>
    </w:p>
    <w:p w14:paraId="44DA90BB" w14:textId="77777777" w:rsidR="00D22600" w:rsidRPr="00D22600" w:rsidRDefault="00D22600" w:rsidP="00D22600">
      <w:pPr>
        <w:ind w:firstLine="4502"/>
        <w:jc w:val="both"/>
      </w:pPr>
    </w:p>
    <w:p w14:paraId="1A58D9F3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XIV </w:t>
      </w:r>
      <w:r w:rsidRPr="00D22600">
        <w:t>- formação, capacitação e educação cultural;</w:t>
      </w:r>
    </w:p>
    <w:p w14:paraId="63485049" w14:textId="77777777" w:rsidR="00D22600" w:rsidRPr="00D22600" w:rsidRDefault="00D22600" w:rsidP="00D22600">
      <w:pPr>
        <w:ind w:firstLine="4502"/>
        <w:jc w:val="both"/>
      </w:pPr>
    </w:p>
    <w:p w14:paraId="5DAE0F00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XV </w:t>
      </w:r>
      <w:r w:rsidRPr="00D22600">
        <w:t>- gastronomia como expressão cultural;</w:t>
      </w:r>
    </w:p>
    <w:p w14:paraId="035518CB" w14:textId="77777777" w:rsidR="00D22600" w:rsidRPr="00D22600" w:rsidRDefault="00D22600" w:rsidP="00D22600">
      <w:pPr>
        <w:ind w:firstLine="4502"/>
        <w:jc w:val="both"/>
      </w:pPr>
    </w:p>
    <w:p w14:paraId="79825707" w14:textId="77777777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XVI </w:t>
      </w:r>
      <w:r w:rsidRPr="00D22600">
        <w:t>- moda e design;</w:t>
      </w:r>
    </w:p>
    <w:p w14:paraId="39968F3C" w14:textId="77777777" w:rsidR="00D22600" w:rsidRPr="00D22600" w:rsidRDefault="00D22600" w:rsidP="00D22600">
      <w:pPr>
        <w:ind w:firstLine="4502"/>
        <w:jc w:val="both"/>
      </w:pPr>
    </w:p>
    <w:p w14:paraId="432498B0" w14:textId="18519431" w:rsidR="00D22600" w:rsidRDefault="00D22600" w:rsidP="00D22600">
      <w:pPr>
        <w:ind w:firstLine="4502"/>
        <w:jc w:val="both"/>
      </w:pPr>
      <w:r w:rsidRPr="00D22600">
        <w:rPr>
          <w:b/>
          <w:bCs/>
        </w:rPr>
        <w:t xml:space="preserve">XVII </w:t>
      </w:r>
      <w:r w:rsidRPr="00D22600">
        <w:t>- patrimônio cultural material e imaterial;</w:t>
      </w:r>
    </w:p>
    <w:p w14:paraId="57AF1D2E" w14:textId="77777777" w:rsidR="007D34DD" w:rsidRDefault="007D34DD" w:rsidP="00D22600">
      <w:pPr>
        <w:ind w:firstLine="4502"/>
        <w:jc w:val="both"/>
      </w:pPr>
    </w:p>
    <w:p w14:paraId="386CE301" w14:textId="77777777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XVIII </w:t>
      </w:r>
      <w:r w:rsidRPr="007D34DD">
        <w:t>- patrimônio paisagístico e natural;</w:t>
      </w:r>
    </w:p>
    <w:p w14:paraId="35FD13A5" w14:textId="77777777" w:rsidR="007D34DD" w:rsidRPr="007D34DD" w:rsidRDefault="007D34DD" w:rsidP="007D34DD">
      <w:pPr>
        <w:ind w:firstLine="4502"/>
        <w:jc w:val="both"/>
      </w:pPr>
    </w:p>
    <w:p w14:paraId="444D7C39" w14:textId="77777777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XIX </w:t>
      </w:r>
      <w:r w:rsidRPr="007D34DD">
        <w:t>- pesquisa científica nas diferentes áreas culturais;</w:t>
      </w:r>
    </w:p>
    <w:p w14:paraId="6FF72383" w14:textId="77777777" w:rsidR="007D34DD" w:rsidRPr="007D34DD" w:rsidRDefault="007D34DD" w:rsidP="007D34DD">
      <w:pPr>
        <w:ind w:firstLine="4502"/>
        <w:jc w:val="both"/>
      </w:pPr>
    </w:p>
    <w:p w14:paraId="6BA36EE5" w14:textId="77777777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XX </w:t>
      </w:r>
      <w:r w:rsidRPr="007D34DD">
        <w:t>- territórios culturais;</w:t>
      </w:r>
    </w:p>
    <w:p w14:paraId="4623F438" w14:textId="77777777" w:rsidR="007D34DD" w:rsidRPr="007D34DD" w:rsidRDefault="007D34DD" w:rsidP="007D34DD">
      <w:pPr>
        <w:ind w:firstLine="4502"/>
        <w:jc w:val="both"/>
      </w:pPr>
    </w:p>
    <w:p w14:paraId="77E23F60" w14:textId="77777777" w:rsidR="007D34DD" w:rsidRDefault="007D34DD" w:rsidP="007D34DD">
      <w:pPr>
        <w:ind w:firstLine="4502"/>
        <w:jc w:val="both"/>
      </w:pPr>
      <w:r w:rsidRPr="007D34DD">
        <w:rPr>
          <w:b/>
          <w:bCs/>
        </w:rPr>
        <w:lastRenderedPageBreak/>
        <w:t xml:space="preserve">XXI </w:t>
      </w:r>
      <w:r w:rsidRPr="007D34DD">
        <w:t>- transversalidade cultural / artes integradas;</w:t>
      </w:r>
    </w:p>
    <w:p w14:paraId="414A0329" w14:textId="77777777" w:rsidR="007D34DD" w:rsidRPr="007D34DD" w:rsidRDefault="007D34DD" w:rsidP="007D34DD">
      <w:pPr>
        <w:ind w:firstLine="4502"/>
        <w:jc w:val="both"/>
      </w:pPr>
    </w:p>
    <w:p w14:paraId="3DA62D34" w14:textId="77777777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XXII </w:t>
      </w:r>
      <w:r w:rsidRPr="007D34DD">
        <w:t>- turismo cultural;</w:t>
      </w:r>
    </w:p>
    <w:p w14:paraId="68D70ACB" w14:textId="77777777" w:rsidR="007D34DD" w:rsidRPr="007D34DD" w:rsidRDefault="007D34DD" w:rsidP="007D34DD">
      <w:pPr>
        <w:ind w:firstLine="4502"/>
        <w:jc w:val="both"/>
      </w:pPr>
    </w:p>
    <w:p w14:paraId="2B20E9F3" w14:textId="77777777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XXIII </w:t>
      </w:r>
      <w:r w:rsidRPr="007D34DD">
        <w:t>- outras áreas de caráter cultural a serem aprovadas pela CAP.</w:t>
      </w:r>
    </w:p>
    <w:p w14:paraId="70A567E7" w14:textId="77777777" w:rsidR="007D34DD" w:rsidRPr="007D34DD" w:rsidRDefault="007D34DD" w:rsidP="007D34DD">
      <w:pPr>
        <w:ind w:firstLine="4502"/>
        <w:jc w:val="both"/>
      </w:pPr>
    </w:p>
    <w:p w14:paraId="635B97F3" w14:textId="0D8AAB14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>Art. 5</w:t>
      </w:r>
      <w:r>
        <w:rPr>
          <w:b/>
          <w:bCs/>
        </w:rPr>
        <w:t>º</w:t>
      </w:r>
      <w:r w:rsidRPr="007D34DD">
        <w:rPr>
          <w:b/>
          <w:bCs/>
        </w:rPr>
        <w:t xml:space="preserve"> </w:t>
      </w:r>
      <w:r w:rsidRPr="007D34DD">
        <w:t>Para a obtenção do incentivo instituído na forma do artigo 1° desta lei,</w:t>
      </w:r>
      <w:r>
        <w:t xml:space="preserve"> </w:t>
      </w:r>
      <w:r w:rsidRPr="007D34DD">
        <w:t>deverá o agente cultural apresentar o projeto cultural, conforme sistema disponibilizado pela</w:t>
      </w:r>
      <w:r>
        <w:t xml:space="preserve"> </w:t>
      </w:r>
      <w:r w:rsidRPr="007D34DD">
        <w:t>Secretaria de Cultura, explicitando os objetivos e os recursos financeiros envolvidos, para fins</w:t>
      </w:r>
      <w:r>
        <w:t xml:space="preserve"> </w:t>
      </w:r>
      <w:r w:rsidRPr="007D34DD">
        <w:t>de apreciação, aprovação e fiscalização posterior.</w:t>
      </w:r>
    </w:p>
    <w:p w14:paraId="20BF6F94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4BE12FE6" w14:textId="2D39E2D2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Parágrafo único. </w:t>
      </w:r>
      <w:r w:rsidRPr="007D34DD">
        <w:t>Para os fins desta lei, consideram-se atividades culturais:</w:t>
      </w:r>
    </w:p>
    <w:p w14:paraId="41D619D0" w14:textId="77777777" w:rsidR="007D34DD" w:rsidRDefault="007D34DD" w:rsidP="007D34DD">
      <w:pPr>
        <w:ind w:firstLine="4502"/>
        <w:jc w:val="both"/>
      </w:pPr>
    </w:p>
    <w:p w14:paraId="2262749C" w14:textId="61096E37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I </w:t>
      </w:r>
      <w:r w:rsidRPr="007D34DD">
        <w:t>- incentivar a formação artística e cultural, no Brasil e no exterior, de</w:t>
      </w:r>
      <w:r>
        <w:t xml:space="preserve"> </w:t>
      </w:r>
      <w:r w:rsidRPr="007D34DD">
        <w:t>produtores, autores, artistas, pesquisadores culturais e técnicos na área da cultura,</w:t>
      </w:r>
      <w:r>
        <w:t xml:space="preserve"> </w:t>
      </w:r>
      <w:r w:rsidRPr="007D34DD">
        <w:t>domiciliados ou estabelecidos no Município de Mogi das Cruzes;</w:t>
      </w:r>
    </w:p>
    <w:p w14:paraId="02430AFE" w14:textId="77777777" w:rsidR="007D34DD" w:rsidRDefault="007D34DD" w:rsidP="007D34DD">
      <w:pPr>
        <w:ind w:firstLine="4502"/>
        <w:jc w:val="both"/>
      </w:pPr>
    </w:p>
    <w:p w14:paraId="0D7E56D3" w14:textId="683C178F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II </w:t>
      </w:r>
      <w:r w:rsidRPr="007D34DD">
        <w:t>- incentivar espaços e outras atividades de acesso público de caráter cultural,</w:t>
      </w:r>
      <w:r>
        <w:t xml:space="preserve"> </w:t>
      </w:r>
      <w:r w:rsidRPr="007D34DD">
        <w:t>credenciados pela Secretaria de Cultura;</w:t>
      </w:r>
    </w:p>
    <w:p w14:paraId="6BEFDE6E" w14:textId="77777777" w:rsidR="007D34DD" w:rsidRPr="007D34DD" w:rsidRDefault="007D34DD" w:rsidP="007D34DD">
      <w:pPr>
        <w:ind w:firstLine="4502"/>
        <w:jc w:val="both"/>
      </w:pPr>
    </w:p>
    <w:p w14:paraId="42D594C6" w14:textId="77777777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III </w:t>
      </w:r>
      <w:r w:rsidRPr="007D34DD">
        <w:t>- editar obras de valor artístico, literário e/ou humanístico;</w:t>
      </w:r>
    </w:p>
    <w:p w14:paraId="1141C8D5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5D97B901" w14:textId="29ADF2A1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IV </w:t>
      </w:r>
      <w:r w:rsidRPr="007D34DD">
        <w:t>- produzir discos, CD's, vídeos, filmes e outras formas de produção</w:t>
      </w:r>
      <w:r>
        <w:t xml:space="preserve"> </w:t>
      </w:r>
      <w:r w:rsidRPr="007D34DD">
        <w:t>fonovideográficas;</w:t>
      </w:r>
    </w:p>
    <w:p w14:paraId="69D84A79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65406984" w14:textId="07CC84C5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V </w:t>
      </w:r>
      <w:r w:rsidRPr="007D34DD">
        <w:t>- viabilizar exposições, festivais de artes, es</w:t>
      </w:r>
      <w:r>
        <w:t>p</w:t>
      </w:r>
      <w:r w:rsidRPr="007D34DD">
        <w:t>etáculos, mostras, encontros,</w:t>
      </w:r>
      <w:r>
        <w:t xml:space="preserve"> </w:t>
      </w:r>
      <w:r w:rsidRPr="007D34DD">
        <w:t>seminários, cursos, palestras, conferências e congêneres, todos de caráter cultural;</w:t>
      </w:r>
    </w:p>
    <w:p w14:paraId="758AFBF9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23ADBACB" w14:textId="54508E48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VI </w:t>
      </w:r>
      <w:r w:rsidRPr="007D34DD">
        <w:t>- restaurar, preservar e conservar prédios, monumentos, logradouros, sítios</w:t>
      </w:r>
      <w:r>
        <w:t xml:space="preserve"> </w:t>
      </w:r>
      <w:r w:rsidRPr="007D34DD">
        <w:t>e áreas tombadas pelo Poder Público Municipal, Estadual e/ou Federal;</w:t>
      </w:r>
    </w:p>
    <w:p w14:paraId="1671F662" w14:textId="77777777" w:rsidR="007D34DD" w:rsidRDefault="007D34DD" w:rsidP="007D34DD">
      <w:pPr>
        <w:ind w:firstLine="4502"/>
        <w:jc w:val="both"/>
      </w:pPr>
    </w:p>
    <w:p w14:paraId="548FE29D" w14:textId="4890ECF2" w:rsidR="007D34DD" w:rsidRPr="00D22600" w:rsidRDefault="007D34DD" w:rsidP="007D34DD">
      <w:pPr>
        <w:ind w:firstLine="4502"/>
        <w:jc w:val="both"/>
      </w:pPr>
      <w:r w:rsidRPr="007D34DD">
        <w:rPr>
          <w:b/>
          <w:bCs/>
        </w:rPr>
        <w:t xml:space="preserve">VII </w:t>
      </w:r>
      <w:r w:rsidRPr="007D34DD">
        <w:t>- restaurar obras de arte e bens móveis de reconhecido</w:t>
      </w:r>
      <w:r>
        <w:t xml:space="preserve"> valor cultural, desde que acessíveis ao público.</w:t>
      </w:r>
    </w:p>
    <w:p w14:paraId="2139F7A2" w14:textId="77777777" w:rsidR="00D22600" w:rsidRDefault="00D22600" w:rsidP="003711EC">
      <w:pPr>
        <w:ind w:firstLine="4502"/>
        <w:jc w:val="both"/>
        <w:rPr>
          <w:b/>
          <w:bCs/>
        </w:rPr>
      </w:pPr>
    </w:p>
    <w:p w14:paraId="506BE8C5" w14:textId="3010ECEE" w:rsidR="007D34DD" w:rsidRPr="007D34DD" w:rsidRDefault="007D34DD" w:rsidP="003711EC">
      <w:pPr>
        <w:ind w:firstLine="4502"/>
        <w:jc w:val="both"/>
      </w:pPr>
      <w:r w:rsidRPr="007D34DD">
        <w:rPr>
          <w:b/>
          <w:bCs/>
        </w:rPr>
        <w:t xml:space="preserve">VIII - </w:t>
      </w:r>
      <w:r w:rsidRPr="007D34DD">
        <w:t>construir, organizar, equipar, manter ou formar museus, arquivos ou bibliotecas de acesso público, bem como salas e outros ambientes destinados a atividades artísticas e culturais em geral, desde que de propriedade de entidades sem fins lucrativos;</w:t>
      </w:r>
    </w:p>
    <w:p w14:paraId="24C92C68" w14:textId="77777777" w:rsidR="00D22600" w:rsidRDefault="00D22600" w:rsidP="003711EC">
      <w:pPr>
        <w:ind w:firstLine="4502"/>
        <w:jc w:val="both"/>
        <w:rPr>
          <w:b/>
          <w:bCs/>
        </w:rPr>
      </w:pPr>
    </w:p>
    <w:p w14:paraId="3A84D94B" w14:textId="7983331A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IX - </w:t>
      </w:r>
      <w:r w:rsidRPr="007D34DD">
        <w:t>possibilitar a compra de passagens par</w:t>
      </w:r>
      <w:r w:rsidR="00875CCD">
        <w:t>a</w:t>
      </w:r>
      <w:r w:rsidRPr="007D34DD">
        <w:t xml:space="preserve"> o transporte, deslocamento, hospedagem e alimentação de artistas, bolsistas, pesquisadores ou conferencistas, quando em missão de caráter cultural nacional ou internacional, cujos beneficias sejam revertidos ao Município de Mogi das Cruzes, no que se refere a trabalhos voltados para a área da cultura;</w:t>
      </w:r>
    </w:p>
    <w:p w14:paraId="50C6CD51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4CF80293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360C1B61" w14:textId="553040C0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lastRenderedPageBreak/>
        <w:t xml:space="preserve">X - </w:t>
      </w:r>
      <w:r w:rsidRPr="007D34DD">
        <w:t>apoiar projetos de cultura digital e novas mídias, compreendendo artes digitais, mídias interativas, jogos eletrônicos, podcasts, plataforn1as de streaming e outras formas de produção cultural em ambiente virtual;</w:t>
      </w:r>
    </w:p>
    <w:p w14:paraId="6A7FA432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16850DB2" w14:textId="0EF6DD44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XI - </w:t>
      </w:r>
      <w:r w:rsidRPr="007D34DD">
        <w:t>promover ações de salvaguarda do patrimônio cultural imaterial, abrangendo tradições, festas, folclore, oralidades, saberes populares e modos de fazer, como complemento ao patrimônio material;</w:t>
      </w:r>
    </w:p>
    <w:p w14:paraId="3AA6A17D" w14:textId="77777777" w:rsidR="007D34DD" w:rsidRPr="007D34DD" w:rsidRDefault="007D34DD" w:rsidP="007D34DD">
      <w:pPr>
        <w:ind w:firstLine="4502"/>
        <w:jc w:val="both"/>
        <w:rPr>
          <w:b/>
          <w:bCs/>
        </w:rPr>
      </w:pPr>
    </w:p>
    <w:p w14:paraId="7F1F30B8" w14:textId="4921F9B0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XII - </w:t>
      </w:r>
      <w:r w:rsidRPr="007D34DD">
        <w:t>fomentar a gastronomia como expressão cultural, incluindo iniciativas de valorização da culinária tradicional, festivais gastronômicos e práticas alimentares de relevância cultural e identitária;</w:t>
      </w:r>
    </w:p>
    <w:p w14:paraId="146182F3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335338CB" w14:textId="19912E84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XIII - </w:t>
      </w:r>
      <w:r w:rsidRPr="007D34DD">
        <w:t>incentivar a formação, a capacitação e a educação cultural, por meio de oficinas, cursos, residências artísticas, programas de mediação e atividades voltadas à formação de artistas, técnicos, gestores e públicos;</w:t>
      </w:r>
    </w:p>
    <w:p w14:paraId="6270C972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53B7E2BD" w14:textId="6444C5E1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XIV - </w:t>
      </w:r>
      <w:r w:rsidRPr="007D34DD">
        <w:t>apoiar projetos de acessibilidade e inclusão cultural, destinados a Pessoas com Deficiência (PcD), idosos e populações em situação de vulnerabilidade social, garantindo igualdade de acesso e participação na vida cultural;</w:t>
      </w:r>
    </w:p>
    <w:p w14:paraId="63A3A427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121B63CF" w14:textId="49545579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XV - </w:t>
      </w:r>
      <w:r w:rsidRPr="007D34DD">
        <w:t>estimular o turismo cultural, através de atividades e projetos que integrem patrimônio, eventos artísticos e manifestações culturais ao desenvolvimento turístico local e regional;</w:t>
      </w:r>
    </w:p>
    <w:p w14:paraId="5160FBDD" w14:textId="77777777" w:rsidR="007D34DD" w:rsidRPr="007D34DD" w:rsidRDefault="007D34DD" w:rsidP="007D34DD">
      <w:pPr>
        <w:ind w:firstLine="4502"/>
        <w:jc w:val="both"/>
        <w:rPr>
          <w:b/>
          <w:bCs/>
        </w:rPr>
      </w:pPr>
    </w:p>
    <w:p w14:paraId="4F5F75C8" w14:textId="5B233ACC" w:rsidR="007D34DD" w:rsidRP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XVI - </w:t>
      </w:r>
      <w:r w:rsidRPr="007D34DD">
        <w:t>reconhecer e valorizar as culturas tradicionais, pretas, indígenas, quilombolas e de outros povos e comunidades tradicionais, incentivando sua difusão, preservação e fo</w:t>
      </w:r>
      <w:r w:rsidR="000936B2">
        <w:t>r</w:t>
      </w:r>
      <w:r w:rsidRPr="007D34DD">
        <w:t>talecimento;</w:t>
      </w:r>
    </w:p>
    <w:p w14:paraId="2F5E444D" w14:textId="77777777" w:rsidR="007D34DD" w:rsidRDefault="007D34DD" w:rsidP="007D34DD">
      <w:pPr>
        <w:ind w:firstLine="4502"/>
        <w:jc w:val="both"/>
        <w:rPr>
          <w:b/>
          <w:bCs/>
        </w:rPr>
      </w:pPr>
    </w:p>
    <w:p w14:paraId="7AD649AE" w14:textId="5C1ADD3C" w:rsidR="007D34DD" w:rsidRDefault="007D34DD" w:rsidP="007D34DD">
      <w:pPr>
        <w:ind w:firstLine="4502"/>
        <w:jc w:val="both"/>
      </w:pPr>
      <w:r w:rsidRPr="007D34DD">
        <w:rPr>
          <w:b/>
          <w:bCs/>
        </w:rPr>
        <w:t xml:space="preserve">XVII - </w:t>
      </w:r>
      <w:r w:rsidRPr="007D34DD">
        <w:t>incentivar a moda e o design como expressões culturais, reconhecendo os como parte da economia criativa e das identidades culturais contemporâneas;</w:t>
      </w:r>
    </w:p>
    <w:p w14:paraId="7A3998A1" w14:textId="77777777" w:rsidR="0081543E" w:rsidRDefault="0081543E" w:rsidP="007D34DD">
      <w:pPr>
        <w:ind w:firstLine="4502"/>
        <w:jc w:val="both"/>
      </w:pPr>
    </w:p>
    <w:p w14:paraId="5D252372" w14:textId="3B43DEE9" w:rsidR="0081543E" w:rsidRDefault="0081543E" w:rsidP="007D34DD">
      <w:pPr>
        <w:ind w:firstLine="4502"/>
        <w:jc w:val="both"/>
      </w:pPr>
      <w:r w:rsidRPr="0081543E">
        <w:rPr>
          <w:b/>
          <w:bCs/>
        </w:rPr>
        <w:t xml:space="preserve">XVIII </w:t>
      </w:r>
      <w:r w:rsidRPr="0081543E">
        <w:t>- promover o artesanato e a produção artesanal, distinguindo</w:t>
      </w:r>
      <w:r>
        <w:t>-os da arte popular, com incentivo a técnicas tradicionais, inovação criativa e geração de renda para comunidades e grupos produtivos;</w:t>
      </w:r>
    </w:p>
    <w:p w14:paraId="54A78C69" w14:textId="77777777" w:rsidR="0081543E" w:rsidRDefault="0081543E" w:rsidP="007D34DD">
      <w:pPr>
        <w:ind w:firstLine="4502"/>
        <w:jc w:val="both"/>
      </w:pPr>
    </w:p>
    <w:p w14:paraId="5444B80F" w14:textId="38AC6869" w:rsidR="0081543E" w:rsidRDefault="0081543E" w:rsidP="007D34DD">
      <w:pPr>
        <w:ind w:firstLine="4502"/>
        <w:jc w:val="both"/>
      </w:pPr>
      <w:r w:rsidRPr="00BC3111">
        <w:rPr>
          <w:b/>
          <w:bCs/>
        </w:rPr>
        <w:t xml:space="preserve">XIX </w:t>
      </w:r>
      <w:r>
        <w:t>– outras atividades assim consideradas pela CAP</w:t>
      </w:r>
      <w:r w:rsidR="00787FDC">
        <w:t>, relacionadas ao previsto no artigo 4º desta lei;</w:t>
      </w:r>
    </w:p>
    <w:p w14:paraId="110F52C9" w14:textId="77777777" w:rsidR="00787FDC" w:rsidRDefault="00787FDC" w:rsidP="007D34DD">
      <w:pPr>
        <w:ind w:firstLine="4502"/>
        <w:jc w:val="both"/>
      </w:pPr>
    </w:p>
    <w:p w14:paraId="32012B50" w14:textId="68476CBC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6º </w:t>
      </w:r>
      <w:r w:rsidRPr="00787FDC">
        <w:t>Aprovado o projeto, o Poder Executivo Municipal providenciará,</w:t>
      </w:r>
      <w:r>
        <w:t xml:space="preserve"> </w:t>
      </w:r>
      <w:r w:rsidRPr="00787FDC">
        <w:t>através da Secretaria de Cultura, a emissão do Certificado de Aprovação para a obtenção de</w:t>
      </w:r>
      <w:r>
        <w:t xml:space="preserve"> </w:t>
      </w:r>
      <w:r w:rsidRPr="00787FDC">
        <w:t>incentivo fiscal.</w:t>
      </w:r>
    </w:p>
    <w:p w14:paraId="44306AE3" w14:textId="77777777" w:rsidR="00787FDC" w:rsidRDefault="00787FDC" w:rsidP="00787FDC">
      <w:pPr>
        <w:ind w:firstLine="4502"/>
        <w:jc w:val="both"/>
        <w:rPr>
          <w:b/>
          <w:bCs/>
        </w:rPr>
      </w:pPr>
    </w:p>
    <w:p w14:paraId="5583A908" w14:textId="4FBFB1D7" w:rsidR="00787FDC" w:rsidRPr="00787FDC" w:rsidRDefault="00787FDC" w:rsidP="00787FDC">
      <w:pPr>
        <w:ind w:firstLine="4502"/>
        <w:jc w:val="both"/>
      </w:pPr>
      <w:r w:rsidRPr="00BC3111">
        <w:rPr>
          <w:b/>
          <w:bCs/>
        </w:rPr>
        <w:t>Art. 7°</w:t>
      </w:r>
      <w:r w:rsidRPr="00787FDC">
        <w:rPr>
          <w:b/>
          <w:bCs/>
        </w:rPr>
        <w:t xml:space="preserve"> </w:t>
      </w:r>
      <w:r w:rsidRPr="00787FDC">
        <w:t>Os certificados de que trata o artigo 6° desta lei terão validade de 2</w:t>
      </w:r>
      <w:r>
        <w:t xml:space="preserve"> </w:t>
      </w:r>
      <w:r w:rsidRPr="00787FDC">
        <w:t>(dois) anos, contados da data de sua expedição, para fins de captação de recursos.</w:t>
      </w:r>
    </w:p>
    <w:p w14:paraId="607E3678" w14:textId="77777777" w:rsidR="00787FDC" w:rsidRDefault="00787FDC" w:rsidP="00787FDC">
      <w:pPr>
        <w:ind w:firstLine="4502"/>
        <w:jc w:val="both"/>
      </w:pPr>
    </w:p>
    <w:p w14:paraId="75DFAAA8" w14:textId="305CA32C" w:rsidR="00787FDC" w:rsidRDefault="00787FDC" w:rsidP="00787FDC">
      <w:pPr>
        <w:ind w:firstLine="4502"/>
        <w:jc w:val="both"/>
      </w:pPr>
      <w:r w:rsidRPr="00BC3111">
        <w:rPr>
          <w:b/>
          <w:bCs/>
        </w:rPr>
        <w:t>§ 1º</w:t>
      </w:r>
      <w:r w:rsidRPr="00787FDC">
        <w:t xml:space="preserve"> Encerrado o prazo de captação, o projeto deverá ser executado no prazo de</w:t>
      </w:r>
      <w:r>
        <w:t xml:space="preserve"> </w:t>
      </w:r>
      <w:r w:rsidRPr="00787FDC">
        <w:t>12 (doze) meses, admitida prorrogação por até 6 (seis) meses, mediante justificativa.</w:t>
      </w:r>
    </w:p>
    <w:p w14:paraId="4B245A35" w14:textId="77777777" w:rsidR="00787FDC" w:rsidRPr="00787FDC" w:rsidRDefault="00787FDC" w:rsidP="00787FDC">
      <w:pPr>
        <w:ind w:firstLine="4502"/>
        <w:jc w:val="both"/>
      </w:pPr>
    </w:p>
    <w:p w14:paraId="2508AAD3" w14:textId="743B59DE" w:rsidR="00787FDC" w:rsidRDefault="00787FDC" w:rsidP="00787FDC">
      <w:pPr>
        <w:ind w:firstLine="4502"/>
        <w:jc w:val="both"/>
      </w:pPr>
      <w:r w:rsidRPr="00BC3111">
        <w:rPr>
          <w:b/>
          <w:bCs/>
        </w:rPr>
        <w:t>§ 2º</w:t>
      </w:r>
      <w:r w:rsidRPr="00787FDC">
        <w:rPr>
          <w:b/>
          <w:bCs/>
        </w:rPr>
        <w:t xml:space="preserve"> </w:t>
      </w:r>
      <w:r w:rsidRPr="00787FDC">
        <w:t>A execução do projeto compreende as etapas de pré-produção, produção,</w:t>
      </w:r>
      <w:r>
        <w:t xml:space="preserve"> </w:t>
      </w:r>
      <w:r w:rsidRPr="00787FDC">
        <w:t>pós-produção e prestação de contas.</w:t>
      </w:r>
    </w:p>
    <w:p w14:paraId="50D2AF6D" w14:textId="77777777" w:rsidR="00787FDC" w:rsidRPr="00787FDC" w:rsidRDefault="00787FDC" w:rsidP="00787FDC">
      <w:pPr>
        <w:ind w:firstLine="4502"/>
        <w:jc w:val="both"/>
      </w:pPr>
    </w:p>
    <w:p w14:paraId="5DE924AF" w14:textId="38306426" w:rsidR="00787FDC" w:rsidRPr="00787FDC" w:rsidRDefault="00787FDC" w:rsidP="00787FDC">
      <w:pPr>
        <w:ind w:firstLine="4502"/>
        <w:jc w:val="both"/>
      </w:pPr>
      <w:r w:rsidRPr="00BC3111">
        <w:rPr>
          <w:b/>
          <w:bCs/>
        </w:rPr>
        <w:t>§ 3º</w:t>
      </w:r>
      <w:r w:rsidRPr="00787FDC">
        <w:rPr>
          <w:b/>
          <w:bCs/>
        </w:rPr>
        <w:t xml:space="preserve"> </w:t>
      </w:r>
      <w:r w:rsidRPr="00787FDC">
        <w:t xml:space="preserve">Caso o período de captação seja inferior ao previsto no </w:t>
      </w:r>
      <w:r w:rsidRPr="000936B2">
        <w:t>caput</w:t>
      </w:r>
      <w:r w:rsidRPr="00787FDC">
        <w:rPr>
          <w:i/>
          <w:iCs/>
        </w:rPr>
        <w:t xml:space="preserve">, </w:t>
      </w:r>
      <w:r w:rsidRPr="00787FDC">
        <w:t>o prazo de</w:t>
      </w:r>
      <w:r>
        <w:t xml:space="preserve"> </w:t>
      </w:r>
      <w:r w:rsidRPr="00787FDC">
        <w:t>execução passará a ser contado a partir do té</w:t>
      </w:r>
      <w:r w:rsidR="000936B2">
        <w:t>r</w:t>
      </w:r>
      <w:r w:rsidRPr="00787FDC">
        <w:t>mino efetivo da captação.</w:t>
      </w:r>
    </w:p>
    <w:p w14:paraId="0296BC88" w14:textId="77777777" w:rsidR="00787FDC" w:rsidRDefault="00787FDC" w:rsidP="00787FDC">
      <w:pPr>
        <w:ind w:firstLine="4502"/>
        <w:jc w:val="both"/>
      </w:pPr>
    </w:p>
    <w:p w14:paraId="5B7F5E20" w14:textId="155525E6" w:rsidR="00787FDC" w:rsidRDefault="00787FDC" w:rsidP="00787FDC">
      <w:pPr>
        <w:ind w:firstLine="4502"/>
        <w:jc w:val="both"/>
      </w:pPr>
      <w:r w:rsidRPr="00BC3111">
        <w:rPr>
          <w:b/>
          <w:bCs/>
        </w:rPr>
        <w:t>§ 4°</w:t>
      </w:r>
      <w:r w:rsidRPr="00787FDC">
        <w:rPr>
          <w:b/>
          <w:bCs/>
        </w:rPr>
        <w:t xml:space="preserve"> </w:t>
      </w:r>
      <w:r w:rsidRPr="00787FDC">
        <w:t>Após a expedição do Certificado de Aprovação, não serão admitidas</w:t>
      </w:r>
      <w:r>
        <w:t xml:space="preserve"> </w:t>
      </w:r>
      <w:r w:rsidRPr="00787FDC">
        <w:t>alterações no valor de recursos aprovados para captação, salvo para correção de erro material</w:t>
      </w:r>
      <w:r>
        <w:t xml:space="preserve"> </w:t>
      </w:r>
      <w:r w:rsidRPr="00787FDC">
        <w:t>devidamente comprovado.</w:t>
      </w:r>
    </w:p>
    <w:p w14:paraId="36BA22AB" w14:textId="77777777" w:rsidR="00787FDC" w:rsidRPr="00787FDC" w:rsidRDefault="00787FDC" w:rsidP="00787FDC">
      <w:pPr>
        <w:ind w:firstLine="4502"/>
        <w:jc w:val="both"/>
      </w:pPr>
    </w:p>
    <w:p w14:paraId="35CB8AEF" w14:textId="5B46CA6E" w:rsid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8º </w:t>
      </w:r>
      <w:r w:rsidRPr="00787FDC">
        <w:t>Além das sanções penais cabíveis, o agente cultural que não realizar</w:t>
      </w:r>
      <w:r>
        <w:t xml:space="preserve"> </w:t>
      </w:r>
      <w:r w:rsidRPr="00787FDC">
        <w:t>efetivamente o seu projeto cultural, por dolo, fraude ou simulação, inclusive no caso de desvio</w:t>
      </w:r>
      <w:r>
        <w:t xml:space="preserve"> </w:t>
      </w:r>
      <w:r w:rsidRPr="00787FDC">
        <w:t>do objeto e/ou dos recursos, estará sujeito, conforme o caso e garantido o contraditório e a</w:t>
      </w:r>
      <w:r>
        <w:t xml:space="preserve"> </w:t>
      </w:r>
      <w:r w:rsidRPr="00787FDC">
        <w:t>ampla defesa, às seguintes sanções:</w:t>
      </w:r>
    </w:p>
    <w:p w14:paraId="75DFA5D8" w14:textId="77777777" w:rsidR="00787FDC" w:rsidRPr="00787FDC" w:rsidRDefault="00787FDC" w:rsidP="00787FDC">
      <w:pPr>
        <w:ind w:firstLine="4502"/>
        <w:jc w:val="both"/>
      </w:pPr>
    </w:p>
    <w:p w14:paraId="5C9DCE76" w14:textId="77777777" w:rsidR="00787FDC" w:rsidRDefault="00787FDC" w:rsidP="00787FDC">
      <w:pPr>
        <w:ind w:firstLine="4502"/>
        <w:jc w:val="both"/>
      </w:pPr>
      <w:r w:rsidRPr="00875CCD">
        <w:rPr>
          <w:b/>
          <w:bCs/>
        </w:rPr>
        <w:t xml:space="preserve">I </w:t>
      </w:r>
      <w:r w:rsidRPr="00787FDC">
        <w:t>- notificação por escrito;</w:t>
      </w:r>
    </w:p>
    <w:p w14:paraId="7AF3CBBF" w14:textId="77777777" w:rsidR="00787FDC" w:rsidRPr="00787FDC" w:rsidRDefault="00787FDC" w:rsidP="00787FDC">
      <w:pPr>
        <w:ind w:firstLine="4502"/>
        <w:jc w:val="both"/>
      </w:pPr>
    </w:p>
    <w:p w14:paraId="0CE18C25" w14:textId="317AF015" w:rsidR="00787FDC" w:rsidRPr="00787FDC" w:rsidRDefault="00787FDC" w:rsidP="00787FDC">
      <w:pPr>
        <w:ind w:firstLine="4502"/>
        <w:jc w:val="both"/>
      </w:pPr>
      <w:r w:rsidRPr="00875CCD">
        <w:rPr>
          <w:b/>
          <w:bCs/>
        </w:rPr>
        <w:t>II</w:t>
      </w:r>
      <w:r w:rsidRPr="00787FDC">
        <w:t xml:space="preserve"> - devolução dos recursos em valor proporcional à inexecução do objeto</w:t>
      </w:r>
      <w:r>
        <w:t xml:space="preserve"> </w:t>
      </w:r>
      <w:r w:rsidRPr="00787FDC">
        <w:t>verificado, com atualização monetária pelo Índice Nacional de Preços ao Consumidor Amplo</w:t>
      </w:r>
      <w:r>
        <w:t xml:space="preserve"> </w:t>
      </w:r>
      <w:r w:rsidRPr="00787FDC">
        <w:t>- IPCA, calculado pelo Instituto Brasileiro de Geografia e Estatística - IBGE, além do</w:t>
      </w:r>
      <w:r>
        <w:t xml:space="preserve"> </w:t>
      </w:r>
      <w:r w:rsidRPr="00787FDC">
        <w:t>acréscimo de juros de mora, nos termos do artigo 406 da Lei Federal nº 10.406, de 1</w:t>
      </w:r>
      <w:r>
        <w:t xml:space="preserve">0 </w:t>
      </w:r>
      <w:r w:rsidRPr="00787FDC">
        <w:t>de</w:t>
      </w:r>
      <w:r>
        <w:t xml:space="preserve"> </w:t>
      </w:r>
      <w:r w:rsidRPr="00787FDC">
        <w:t>janeiro de 2002 (Código Civil);</w:t>
      </w:r>
    </w:p>
    <w:p w14:paraId="7D1179AB" w14:textId="77777777" w:rsidR="00787FDC" w:rsidRDefault="00787FDC" w:rsidP="00787FDC">
      <w:pPr>
        <w:ind w:firstLine="4502"/>
        <w:jc w:val="both"/>
        <w:rPr>
          <w:b/>
          <w:bCs/>
        </w:rPr>
      </w:pPr>
    </w:p>
    <w:p w14:paraId="37D02148" w14:textId="111CE34A" w:rsid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III </w:t>
      </w:r>
      <w:r w:rsidRPr="00787FDC">
        <w:t>- multa no valor de 2 (duas) vezes o valor proporcional à inexecução do</w:t>
      </w:r>
      <w:r>
        <w:t xml:space="preserve"> </w:t>
      </w:r>
      <w:r w:rsidRPr="00787FDC">
        <w:t>objeto verificado;</w:t>
      </w:r>
    </w:p>
    <w:p w14:paraId="1AB85B54" w14:textId="77777777" w:rsidR="00787FDC" w:rsidRDefault="00787FDC" w:rsidP="00787FDC">
      <w:pPr>
        <w:ind w:firstLine="4502"/>
        <w:jc w:val="both"/>
      </w:pPr>
    </w:p>
    <w:p w14:paraId="33068D54" w14:textId="0301ACD8" w:rsidR="00787FDC" w:rsidRPr="007D34DD" w:rsidRDefault="00787FDC" w:rsidP="00787FDC">
      <w:pPr>
        <w:ind w:firstLine="4502"/>
        <w:jc w:val="both"/>
      </w:pPr>
      <w:r w:rsidRPr="00787FDC">
        <w:rPr>
          <w:b/>
          <w:bCs/>
        </w:rPr>
        <w:t xml:space="preserve">IV </w:t>
      </w:r>
      <w:r w:rsidRPr="00787FDC">
        <w:t>- suspensão temporária para apresentação de projetos culturais</w:t>
      </w:r>
      <w:r>
        <w:t xml:space="preserve"> por no mínimo, 1 (um) ano e, no máximo, 2 (dois) anos.</w:t>
      </w:r>
    </w:p>
    <w:p w14:paraId="6582A58A" w14:textId="77777777" w:rsidR="00D22600" w:rsidRDefault="00D22600" w:rsidP="003711EC">
      <w:pPr>
        <w:ind w:firstLine="4502"/>
        <w:jc w:val="both"/>
        <w:rPr>
          <w:b/>
          <w:bCs/>
        </w:rPr>
      </w:pPr>
    </w:p>
    <w:p w14:paraId="189BA07F" w14:textId="78360A44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9º </w:t>
      </w:r>
      <w:r w:rsidRPr="00787FDC">
        <w:t>É vedada a apresentação de projetos enquadrado nesta Lei de Incentivo à Cultura - LIC por servidores pertencentes ao quadro da Secretaria de Cultura e profissionais que atuem na etapa de seleção dos projetos, estendendo-se a vedação aos respectivos cônjuges ou companheiros, bem como parentes em linha reta colateral ou por afinidade, até o segundo grau.</w:t>
      </w:r>
    </w:p>
    <w:p w14:paraId="20D6C81A" w14:textId="77777777" w:rsidR="00787FDC" w:rsidRDefault="00787FDC" w:rsidP="00787FDC">
      <w:pPr>
        <w:ind w:firstLine="4502"/>
        <w:jc w:val="both"/>
        <w:rPr>
          <w:b/>
          <w:bCs/>
        </w:rPr>
      </w:pPr>
    </w:p>
    <w:p w14:paraId="61534B14" w14:textId="5FA45CDD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10. </w:t>
      </w:r>
      <w:r w:rsidRPr="00787FDC">
        <w:t>As obras resultantes dos projetos culturais beneficiados por esta lei serão apresentadas, prioritariamente, no âmbito territorial do Município, devendo constar a divulgação do apoio institucional da Prefeitura de Mogi das Cruzes, conforme regulamento.</w:t>
      </w:r>
    </w:p>
    <w:p w14:paraId="64F6C9FB" w14:textId="77777777" w:rsidR="00787FDC" w:rsidRDefault="00787FDC" w:rsidP="00787FDC">
      <w:pPr>
        <w:ind w:firstLine="4502"/>
        <w:jc w:val="both"/>
        <w:rPr>
          <w:b/>
          <w:bCs/>
        </w:rPr>
      </w:pPr>
    </w:p>
    <w:p w14:paraId="26A978C2" w14:textId="5529068B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11. </w:t>
      </w:r>
      <w:r w:rsidRPr="00787FDC">
        <w:t>Os projetos culturais anteriormente aprovados e ainda em vigor poderão, a critério do respectivo agente cultural, adequar-se às disposições desta lei e de seu decreto regulamentador, usufruindo das novas medidas e atualizações nela previstas, desde que atendidas integralmente as condições e exigências estabelecidas para o novo regime.</w:t>
      </w:r>
    </w:p>
    <w:p w14:paraId="19A4E032" w14:textId="77777777" w:rsidR="00787FDC" w:rsidRDefault="00787FDC" w:rsidP="00787FDC">
      <w:pPr>
        <w:ind w:firstLine="4502"/>
        <w:jc w:val="both"/>
        <w:rPr>
          <w:b/>
          <w:bCs/>
        </w:rPr>
      </w:pPr>
    </w:p>
    <w:p w14:paraId="11B574A2" w14:textId="59DD8FE0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12. </w:t>
      </w:r>
      <w:r w:rsidRPr="00787FDC">
        <w:t>Compete à Secretaria de Cultura promover e estimular relações paritárias, por meio de oficinas, cursos, palestras, fóruns e demais mecanismos de integração entre os agentes culturais e patrocinadores, através de ações programáticas desenvolvidas em conjunto com os Conselhos a ela vinculados.</w:t>
      </w:r>
    </w:p>
    <w:p w14:paraId="33505F27" w14:textId="77777777" w:rsidR="00787FDC" w:rsidRPr="00787FDC" w:rsidRDefault="00787FDC" w:rsidP="00787FDC">
      <w:pPr>
        <w:ind w:firstLine="4502"/>
        <w:jc w:val="both"/>
        <w:rPr>
          <w:b/>
          <w:bCs/>
        </w:rPr>
      </w:pPr>
    </w:p>
    <w:p w14:paraId="1E6A2DCA" w14:textId="3FC80BA5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13. </w:t>
      </w:r>
      <w:r w:rsidRPr="00787FDC">
        <w:t>A aplicação desta lei poderá ser reavaliada, preferencialmente a cada 5 (cinco) anos, ou em prazo inferior, quando as circunstâncias demonstrarem necessidade de revisão de suas disposições.</w:t>
      </w:r>
    </w:p>
    <w:p w14:paraId="02FB698B" w14:textId="77777777" w:rsidR="00787FDC" w:rsidRPr="00787FDC" w:rsidRDefault="00787FDC" w:rsidP="00787FDC">
      <w:pPr>
        <w:ind w:firstLine="4502"/>
        <w:jc w:val="both"/>
        <w:rPr>
          <w:b/>
          <w:bCs/>
        </w:rPr>
      </w:pPr>
    </w:p>
    <w:p w14:paraId="6A6B6A0F" w14:textId="77777777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14. </w:t>
      </w:r>
      <w:r w:rsidRPr="00787FDC">
        <w:t>Fica revogada a Lei nº 6.959, de 17 de setembro de 2014.</w:t>
      </w:r>
    </w:p>
    <w:p w14:paraId="3915B7FF" w14:textId="77777777" w:rsidR="00787FDC" w:rsidRDefault="00787FDC" w:rsidP="00787FDC">
      <w:pPr>
        <w:ind w:firstLine="4502"/>
        <w:jc w:val="both"/>
        <w:rPr>
          <w:b/>
          <w:bCs/>
        </w:rPr>
      </w:pPr>
    </w:p>
    <w:p w14:paraId="7D6ADD5B" w14:textId="020C9DFE" w:rsidR="00787FDC" w:rsidRPr="00787FDC" w:rsidRDefault="00787FDC" w:rsidP="00787FDC">
      <w:pPr>
        <w:ind w:firstLine="4502"/>
        <w:jc w:val="both"/>
      </w:pPr>
      <w:r w:rsidRPr="00787FDC">
        <w:rPr>
          <w:b/>
          <w:bCs/>
        </w:rPr>
        <w:t xml:space="preserve">Art. 15. </w:t>
      </w:r>
      <w:r w:rsidRPr="00787FDC">
        <w:t>Esta lei entrará em vigor na data de sua publicação.</w:t>
      </w:r>
    </w:p>
    <w:p w14:paraId="3C34E5E0" w14:textId="77777777" w:rsidR="00D22600" w:rsidRDefault="00D22600" w:rsidP="00787FDC">
      <w:pPr>
        <w:jc w:val="both"/>
        <w:rPr>
          <w:b/>
          <w:bCs/>
        </w:rPr>
      </w:pPr>
    </w:p>
    <w:p w14:paraId="0D6F7004" w14:textId="77777777" w:rsidR="00D22600" w:rsidRDefault="00D22600" w:rsidP="003711EC">
      <w:pPr>
        <w:ind w:firstLine="4502"/>
        <w:jc w:val="both"/>
        <w:rPr>
          <w:b/>
          <w:bCs/>
        </w:rPr>
      </w:pPr>
    </w:p>
    <w:p w14:paraId="410D92DE" w14:textId="5463A2F5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394C74AA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245A6B41" w:rsidR="003711EC" w:rsidRDefault="003711EC" w:rsidP="003711EC">
      <w:pPr>
        <w:jc w:val="center"/>
      </w:pPr>
      <w:r>
        <w:t>Secret</w:t>
      </w:r>
      <w:r w:rsidR="00875CCD">
        <w:t>á</w:t>
      </w:r>
      <w:r>
        <w:t>rio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03CDFE72" w:rsidR="003711EC" w:rsidRDefault="00787FDC" w:rsidP="003711EC">
      <w:pPr>
        <w:jc w:val="center"/>
      </w:pPr>
      <w:r>
        <w:t>GUILHERME LUIZ SEVER CARVALHO</w:t>
      </w:r>
    </w:p>
    <w:p w14:paraId="51CB88EF" w14:textId="1C35B215" w:rsidR="003711EC" w:rsidRDefault="003711EC" w:rsidP="003711EC">
      <w:pPr>
        <w:jc w:val="center"/>
      </w:pPr>
      <w:r>
        <w:t>Secretári</w:t>
      </w:r>
      <w:r w:rsidR="00787FDC">
        <w:t>o de cultura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36B2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3C3A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3EE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49F6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1086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0AAA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7B"/>
    <w:rsid w:val="00774589"/>
    <w:rsid w:val="00776FFA"/>
    <w:rsid w:val="00777077"/>
    <w:rsid w:val="00777E81"/>
    <w:rsid w:val="00781073"/>
    <w:rsid w:val="0078180A"/>
    <w:rsid w:val="00784EFC"/>
    <w:rsid w:val="0078502D"/>
    <w:rsid w:val="00787FDC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4D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543E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5CCD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3B91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111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2600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63C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2183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10</cp:revision>
  <dcterms:created xsi:type="dcterms:W3CDTF">2026-01-26T20:32:00Z</dcterms:created>
  <dcterms:modified xsi:type="dcterms:W3CDTF">2026-01-28T14:41:00Z</dcterms:modified>
</cp:coreProperties>
</file>