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248428D6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A93DBF">
        <w:rPr>
          <w:b/>
          <w:bCs/>
        </w:rPr>
        <w:t>2</w:t>
      </w:r>
      <w:r w:rsidR="00072E82">
        <w:rPr>
          <w:b/>
          <w:bCs/>
        </w:rPr>
        <w:t>7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072E82">
        <w:rPr>
          <w:b/>
          <w:bCs/>
        </w:rPr>
        <w:t>10</w:t>
      </w:r>
      <w:r w:rsidR="00C66F0F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1A561B">
        <w:rPr>
          <w:b/>
          <w:bCs/>
        </w:rPr>
        <w:t>JU</w:t>
      </w:r>
      <w:r w:rsidR="00A93DBF">
        <w:rPr>
          <w:b/>
          <w:bCs/>
        </w:rPr>
        <w:t>L</w:t>
      </w:r>
      <w:r w:rsidR="001A561B">
        <w:rPr>
          <w:b/>
          <w:bCs/>
        </w:rPr>
        <w:t>HO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64BCE015" w:rsidR="005F1884" w:rsidRDefault="00A93DBF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</w:t>
      </w:r>
      <w:r w:rsidR="00072E82">
        <w:rPr>
          <w:rFonts w:eastAsia="Calibri"/>
        </w:rPr>
        <w:t>denominação de logradouro público</w:t>
      </w:r>
      <w:r w:rsidR="00741EEF">
        <w:rPr>
          <w:rFonts w:eastAsia="Calibri"/>
        </w:rPr>
        <w:t>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7C097284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681888D1" w14:textId="4836235F" w:rsidR="003C7583" w:rsidRDefault="00241C2B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 </w:t>
      </w:r>
      <w:r w:rsidR="00072E82">
        <w:rPr>
          <w:rFonts w:eastAsia="Calibri"/>
        </w:rPr>
        <w:t>Fica denominada Rua EDSON DE OLIVEIRA REIS – BIJU, cujos dados biográficos acompanham a presente lei, a via pública atualmente denominada como Rua Onze, que tem seu início na Rua Dois e término na Rua Quatro, do Loteamento Conjunto Habitacional Vereador Jefferson da Silva, nesta cidade, código de logradouro nº 21.627-6</w:t>
      </w:r>
      <w:r w:rsidR="003C7583">
        <w:rPr>
          <w:rFonts w:eastAsia="Calibri"/>
        </w:rPr>
        <w:t>.</w:t>
      </w:r>
    </w:p>
    <w:p w14:paraId="1045B868" w14:textId="77777777" w:rsidR="003C7583" w:rsidRPr="00741EEF" w:rsidRDefault="003C7583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41EEF">
        <w:rPr>
          <w:rFonts w:eastAsia="Calibri"/>
        </w:rPr>
        <w:t xml:space="preserve"> </w:t>
      </w:r>
    </w:p>
    <w:p w14:paraId="6911ECFC" w14:textId="01BDC232" w:rsidR="00195A28" w:rsidRDefault="00AB4979" w:rsidP="00647890">
      <w:pPr>
        <w:autoSpaceDE w:val="0"/>
        <w:autoSpaceDN w:val="0"/>
        <w:adjustRightInd w:val="0"/>
        <w:ind w:firstLine="4502"/>
        <w:jc w:val="both"/>
      </w:pPr>
      <w:r w:rsidRPr="00647890">
        <w:rPr>
          <w:rFonts w:eastAsia="Calibri"/>
          <w:b/>
          <w:bCs/>
        </w:rPr>
        <w:t xml:space="preserve">Art. </w:t>
      </w:r>
      <w:r>
        <w:rPr>
          <w:rFonts w:eastAsia="Calibri"/>
          <w:b/>
          <w:bCs/>
        </w:rPr>
        <w:t>2</w:t>
      </w:r>
      <w:r w:rsidRPr="00647890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 w:rsidR="00647890" w:rsidRPr="00647890">
        <w:rPr>
          <w:rFonts w:eastAsia="Calibri"/>
        </w:rPr>
        <w:t>Esta lei e</w:t>
      </w:r>
      <w:r w:rsidR="00822FE4">
        <w:rPr>
          <w:rFonts w:eastAsia="Calibri"/>
        </w:rPr>
        <w:t>n</w:t>
      </w:r>
      <w:r w:rsidR="00647890" w:rsidRPr="00647890">
        <w:rPr>
          <w:rFonts w:eastAsia="Calibri"/>
        </w:rPr>
        <w:t>tra em vigor na data de sua publicação.</w:t>
      </w:r>
    </w:p>
    <w:p w14:paraId="27644663" w14:textId="77777777" w:rsidR="00084A85" w:rsidRDefault="00084A85" w:rsidP="0020533B">
      <w:pPr>
        <w:ind w:firstLine="4502"/>
        <w:jc w:val="both"/>
      </w:pPr>
    </w:p>
    <w:p w14:paraId="0ED920B9" w14:textId="77777777" w:rsidR="00647890" w:rsidRDefault="00647890" w:rsidP="0020533B">
      <w:pPr>
        <w:ind w:firstLine="4502"/>
        <w:jc w:val="both"/>
      </w:pPr>
    </w:p>
    <w:p w14:paraId="1D46EEDA" w14:textId="70C443C4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072E82">
        <w:t>10</w:t>
      </w:r>
      <w:r w:rsidR="00647890">
        <w:t xml:space="preserve"> de </w:t>
      </w:r>
      <w:r w:rsidR="001A561B">
        <w:t>ju</w:t>
      </w:r>
      <w:r>
        <w:t>l</w:t>
      </w:r>
      <w:r w:rsidR="001A561B">
        <w:t>ho</w:t>
      </w:r>
      <w:r w:rsidR="00647890">
        <w:t xml:space="preserve"> de 2024, 463°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65C2C68D" w:rsidR="00647890" w:rsidRDefault="00647890" w:rsidP="00647890">
      <w:pPr>
        <w:ind w:firstLine="4502"/>
        <w:jc w:val="both"/>
      </w:pPr>
      <w:r>
        <w:t>Secretaria</w:t>
      </w:r>
      <w:r w:rsidR="00682BF4">
        <w:t xml:space="preserve"> Legislativa da Câmara Municipal de Mogi das Cruzes, </w:t>
      </w:r>
      <w:r w:rsidR="00072E82">
        <w:t>10</w:t>
      </w:r>
      <w:r w:rsidR="00682BF4">
        <w:t xml:space="preserve"> de julho de 2024, 463° da Fundação da Cidade de Mogi das Cruzes</w:t>
      </w:r>
      <w:r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63FA1E51" w:rsidR="006A5278" w:rsidRDefault="006A5278" w:rsidP="006A5278">
      <w:pPr>
        <w:jc w:val="center"/>
      </w:pPr>
      <w:r>
        <w:t xml:space="preserve">(AUTORIA DO PROJETO: VEREADOR </w:t>
      </w:r>
      <w:r w:rsidR="00072E82">
        <w:t>MILTON LINS DA SILVA</w:t>
      </w:r>
      <w:r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6618"/>
    <w:rsid w:val="00082246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2024-08-06T11:50:00Z</dcterms:created>
  <dcterms:modified xsi:type="dcterms:W3CDTF">2024-08-06T11:56:00Z</dcterms:modified>
</cp:coreProperties>
</file>