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10BEBA8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6B612E">
        <w:rPr>
          <w:b/>
          <w:bCs/>
        </w:rPr>
        <w:t>6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</w:t>
      </w:r>
      <w:r w:rsidR="006B612E">
        <w:rPr>
          <w:b/>
          <w:bCs/>
        </w:rPr>
        <w:t>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583AB4C" w14:textId="6585A6FB" w:rsidR="00AB6F77" w:rsidRDefault="006B612E" w:rsidP="006B612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6B612E">
        <w:rPr>
          <w:rFonts w:eastAsia="Calibri"/>
        </w:rPr>
        <w:t>Dispõe sobre o Plano Plurianual do Município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de Mogi das Cruzes para o quadriênio de 2026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a 2029.</w:t>
      </w:r>
    </w:p>
    <w:p w14:paraId="3730D5D7" w14:textId="77777777" w:rsidR="006B612E" w:rsidRPr="0070281A" w:rsidRDefault="006B612E" w:rsidP="006B612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48541B15" w:rsidR="00A9362B" w:rsidRPr="004964ED" w:rsidRDefault="003711EC" w:rsidP="004964E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4964ED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D81D0B" w14:textId="37BC927B" w:rsidR="006B612E" w:rsidRDefault="00EC081A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6B612E" w:rsidRPr="006B612E">
        <w:rPr>
          <w:rFonts w:eastAsia="Calibri"/>
        </w:rPr>
        <w:t>Esta lei estabelece, nos termos do artigo 165 da Constituição Federal de</w:t>
      </w:r>
      <w:r w:rsidR="006B612E">
        <w:rPr>
          <w:rFonts w:eastAsia="Calibri"/>
        </w:rPr>
        <w:t xml:space="preserve"> </w:t>
      </w:r>
      <w:r w:rsidR="006B612E" w:rsidRPr="006B612E">
        <w:rPr>
          <w:rFonts w:eastAsia="Calibri"/>
        </w:rPr>
        <w:t>1988, o Plano Plurianual do Município de Mogi das Cruzes, no qual são definidas as diretrizes</w:t>
      </w:r>
      <w:r w:rsidR="006B612E">
        <w:rPr>
          <w:rFonts w:eastAsia="Calibri"/>
        </w:rPr>
        <w:t xml:space="preserve"> </w:t>
      </w:r>
      <w:r w:rsidR="006B612E" w:rsidRPr="006B612E">
        <w:rPr>
          <w:rFonts w:eastAsia="Calibri"/>
        </w:rPr>
        <w:t>da Administração Pública Municipal para as despesas de capital, bem como outras delas</w:t>
      </w:r>
      <w:r w:rsidR="006B612E">
        <w:rPr>
          <w:rFonts w:eastAsia="Calibri"/>
        </w:rPr>
        <w:t xml:space="preserve"> </w:t>
      </w:r>
      <w:r w:rsidR="006B612E" w:rsidRPr="006B612E">
        <w:rPr>
          <w:rFonts w:eastAsia="Calibri"/>
        </w:rPr>
        <w:t>decorrentes, estabelecendo os programas, com seus respectivos objetivos e indicadores, e as</w:t>
      </w:r>
      <w:r w:rsidR="006B612E">
        <w:rPr>
          <w:rFonts w:eastAsia="Calibri"/>
        </w:rPr>
        <w:t xml:space="preserve"> </w:t>
      </w:r>
      <w:r w:rsidR="006B612E" w:rsidRPr="006B612E">
        <w:rPr>
          <w:rFonts w:eastAsia="Calibri"/>
        </w:rPr>
        <w:t>ações de governo, com os seus atinentes produtos e metas físicas e financeiras, assim como para</w:t>
      </w:r>
      <w:r w:rsidR="006B612E">
        <w:rPr>
          <w:rFonts w:eastAsia="Calibri"/>
        </w:rPr>
        <w:t xml:space="preserve"> </w:t>
      </w:r>
      <w:r w:rsidR="006B612E" w:rsidRPr="006B612E">
        <w:rPr>
          <w:rFonts w:eastAsia="Calibri"/>
        </w:rPr>
        <w:t>as despesas relativas aos programas de duração continuada, na forma dos Anexos integrantes</w:t>
      </w:r>
      <w:r w:rsidR="006B612E">
        <w:rPr>
          <w:rFonts w:eastAsia="Calibri"/>
        </w:rPr>
        <w:t xml:space="preserve"> </w:t>
      </w:r>
      <w:r w:rsidR="006B612E" w:rsidRPr="006B612E">
        <w:rPr>
          <w:rFonts w:eastAsia="Calibri"/>
        </w:rPr>
        <w:t>desta lei.</w:t>
      </w:r>
    </w:p>
    <w:p w14:paraId="0276F6D2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D26F178" w14:textId="460D44DE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Art. 2º </w:t>
      </w:r>
      <w:r w:rsidRPr="006B612E">
        <w:rPr>
          <w:rFonts w:eastAsia="Calibri"/>
        </w:rPr>
        <w:t>O presente Plano Plurianual, com v</w:t>
      </w:r>
      <w:r>
        <w:rPr>
          <w:rFonts w:eastAsia="Calibri"/>
        </w:rPr>
        <w:t>i</w:t>
      </w:r>
      <w:r w:rsidRPr="006B612E">
        <w:rPr>
          <w:rFonts w:eastAsia="Calibri"/>
        </w:rPr>
        <w:t>gência que perdura durante o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quadriênio de 2026 a 2029, tem como escopo organizar a atuação governamental em Programas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e Ações, orientados para o alcance dos objetivos estratégicos definidos para o referido período.</w:t>
      </w:r>
    </w:p>
    <w:p w14:paraId="2A1EB47E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FEA8D8" w14:textId="5C76BFFC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>§ 1º</w:t>
      </w:r>
      <w:r w:rsidRPr="006B612E">
        <w:rPr>
          <w:rFonts w:eastAsia="Calibri"/>
        </w:rPr>
        <w:t xml:space="preserve"> Os Programas e as Ações deste Plano Plurianual serão observados nas leis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de diretrizes orçamentárias e nas leis orçamentárias anuais, bem como, ainda, nas leis que,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porventura, as modifiquem.</w:t>
      </w:r>
    </w:p>
    <w:p w14:paraId="4747ADE7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34EB9B4" w14:textId="585D0730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§ 2º </w:t>
      </w:r>
      <w:r w:rsidRPr="006B612E">
        <w:rPr>
          <w:rFonts w:eastAsia="Calibri"/>
        </w:rPr>
        <w:t>Para a elaboração deste Plano Plurianual, foram adotados os seguintes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conceitos, estabelecidos pela Portaria nº 42, de 14 de abril de 1999, quais sejam:</w:t>
      </w:r>
    </w:p>
    <w:p w14:paraId="34BB0202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C37DCBF" w14:textId="6027811A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>I</w:t>
      </w:r>
      <w:r w:rsidRPr="006B612E">
        <w:rPr>
          <w:rFonts w:eastAsia="Calibri"/>
        </w:rPr>
        <w:t xml:space="preserve"> - Programa: instrumento de organização da ação governamental, visando a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concretização dos objetivos pretendidos, sendo mensurado por indicadores estabelecidos neste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Plano;</w:t>
      </w:r>
    </w:p>
    <w:p w14:paraId="593D9AD9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5395130" w14:textId="0D360272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II </w:t>
      </w:r>
      <w:r w:rsidRPr="006B612E">
        <w:rPr>
          <w:rFonts w:eastAsia="Calibri"/>
        </w:rPr>
        <w:t>- Projeto: mecanismo de programação para alcançar o objetivo de um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Programa, envolvendo um conjunto de operações, limitadas no tempo, das quais resulta um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produto, que concorre para a expansão ou para o aperfeiçoamento da ação de governo;</w:t>
      </w:r>
    </w:p>
    <w:p w14:paraId="20D6B0DE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6FC8CEB" w14:textId="683F19A3" w:rsidR="00AB6F77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III </w:t>
      </w:r>
      <w:r w:rsidRPr="006B612E">
        <w:rPr>
          <w:rFonts w:eastAsia="Calibri"/>
        </w:rPr>
        <w:t>- Atividade: artifício de programação par</w:t>
      </w:r>
      <w:r>
        <w:rPr>
          <w:rFonts w:eastAsia="Calibri"/>
        </w:rPr>
        <w:t>a</w:t>
      </w:r>
      <w:r w:rsidRPr="006B612E">
        <w:rPr>
          <w:rFonts w:eastAsia="Calibri"/>
        </w:rPr>
        <w:t xml:space="preserve"> alcançar o objetivo de um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Programa, envolvendo um conjunto de operações que se realizam de modo contínuo e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permanente, das quais resulta um produto necessário à manutenção da ação de governo;</w:t>
      </w:r>
    </w:p>
    <w:p w14:paraId="18B2B946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47E661B" w14:textId="30CD09C3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IV </w:t>
      </w:r>
      <w:r w:rsidRPr="006B612E">
        <w:rPr>
          <w:rFonts w:eastAsia="Calibri"/>
        </w:rPr>
        <w:t>- Operações Especiais: despesas que não contribuem para a manutenção das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ações de governo, das quais não resulta um produto, e não geram contraprestação direta sob a</w:t>
      </w:r>
      <w:r>
        <w:rPr>
          <w:rFonts w:eastAsia="Calibri"/>
        </w:rPr>
        <w:t xml:space="preserve"> forma de bens e/ou serviços.</w:t>
      </w:r>
    </w:p>
    <w:p w14:paraId="1E2A11FE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BA8ED9E" w14:textId="7354813A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Art. 3° </w:t>
      </w:r>
      <w:r w:rsidRPr="006B612E">
        <w:rPr>
          <w:rFonts w:eastAsia="Calibri"/>
        </w:rPr>
        <w:t>As estimativas de receitas e de despesas dos Programas, constantes dos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Anexos desta lei, bem como suas metas anuais, foram fixadas de modo a conferir consistência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ao Plano Plurianual, em consonância com o princípio da gestão fiscal responsável, estabelecido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pela Lei Complementar Federal nº 101, de 4 de maio de 2000 (L</w:t>
      </w:r>
      <w:r>
        <w:rPr>
          <w:rFonts w:eastAsia="Calibri"/>
        </w:rPr>
        <w:t>e</w:t>
      </w:r>
      <w:r w:rsidRPr="006B612E">
        <w:rPr>
          <w:rFonts w:eastAsia="Calibri"/>
        </w:rPr>
        <w:t>i de Responsabilidade Fiscal),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não se constituindo, contudo, em limites para a elaboração das leis orçamentárias anuais.</w:t>
      </w:r>
    </w:p>
    <w:p w14:paraId="595C2A9B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96283B1" w14:textId="7314897F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>§ 1º</w:t>
      </w:r>
      <w:r w:rsidRPr="006B612E">
        <w:rPr>
          <w:rFonts w:eastAsia="Calibri"/>
        </w:rPr>
        <w:t xml:space="preserve"> As leis de diretrizes orçamentárias e orçamentárias anuais, durante o período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 xml:space="preserve">de </w:t>
      </w:r>
      <w:r w:rsidRPr="00925149">
        <w:rPr>
          <w:rFonts w:eastAsia="Calibri"/>
        </w:rPr>
        <w:t>2026 a 2029,</w:t>
      </w:r>
      <w:r w:rsidRPr="006B612E">
        <w:rPr>
          <w:rFonts w:eastAsia="Calibri"/>
        </w:rPr>
        <w:t xml:space="preserve"> devem ser compatíveis com os programas e as metas constantes desta lei,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 xml:space="preserve">observado o disposto no </w:t>
      </w:r>
      <w:r w:rsidRPr="006B612E">
        <w:rPr>
          <w:rFonts w:eastAsia="Calibri"/>
          <w:i/>
          <w:iCs/>
        </w:rPr>
        <w:t xml:space="preserve">caput </w:t>
      </w:r>
      <w:r w:rsidRPr="006B612E">
        <w:rPr>
          <w:rFonts w:eastAsia="Calibri"/>
        </w:rPr>
        <w:t>deste artigo.</w:t>
      </w:r>
    </w:p>
    <w:p w14:paraId="734547EF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51289A4" w14:textId="7A239B06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§ 2º </w:t>
      </w:r>
      <w:r w:rsidRPr="006B612E">
        <w:rPr>
          <w:rFonts w:eastAsia="Calibri"/>
        </w:rPr>
        <w:t xml:space="preserve">As metas referidas no </w:t>
      </w:r>
      <w:r w:rsidRPr="006B612E">
        <w:rPr>
          <w:rFonts w:eastAsia="Calibri"/>
          <w:i/>
          <w:iCs/>
        </w:rPr>
        <w:t xml:space="preserve">caput </w:t>
      </w:r>
      <w:r w:rsidRPr="006B612E">
        <w:rPr>
          <w:rFonts w:eastAsia="Calibri"/>
        </w:rPr>
        <w:t>deste artigo norteiam as ações da Administração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Pública Municipal e correspondem a quantidades estimadas, não constituindo limites para o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cumprimento dos objetivos do Plano Plurianual de que trata esta lei.</w:t>
      </w:r>
    </w:p>
    <w:p w14:paraId="55229197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EB0CA98" w14:textId="01755283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§ 3º </w:t>
      </w:r>
      <w:r w:rsidRPr="006B612E">
        <w:rPr>
          <w:rFonts w:eastAsia="Calibri"/>
        </w:rPr>
        <w:t>A Chefe do Poder Executivo Municipal poderá editar decretos e outros atos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administrativos, para formalizar as revisões deste Plano Plurianual, de modo a garantir a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adequação necessária às mudanças que ocorrerem durante a execução dos Programas e Ações,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em tem1os de órgão responsável, da unidade orçamentária, dos índices de indicadores, dos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programas e das metas físicas e financeiras e dos produtos das ações.</w:t>
      </w:r>
    </w:p>
    <w:p w14:paraId="3255E963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7C00A2F" w14:textId="7FB9B708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§ 4º </w:t>
      </w:r>
      <w:r w:rsidRPr="006B612E">
        <w:rPr>
          <w:rFonts w:eastAsia="Calibri"/>
        </w:rPr>
        <w:t>A exclusão ou alteração de programas constantes desta lei, bem como a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inclusão de novos programas, deverão ser submetidos à apreciação legislativa, por meio de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projeto de lei específico, de iniciativa do Poder Executivo Municipal.</w:t>
      </w:r>
    </w:p>
    <w:p w14:paraId="77ABE605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137107E" w14:textId="3E5A4AAF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Art. 4º </w:t>
      </w:r>
      <w:r w:rsidRPr="006B612E">
        <w:rPr>
          <w:rFonts w:eastAsia="Calibri"/>
        </w:rPr>
        <w:t>O Poder Executivo Municipal adotará as medidas necessárias à plena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execução desta lei, que poderá ser revista ou modificada ao longo de sua vigência, em função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de alterações de prioridades e de outros fatores capazes de interferir na gestão das políticas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públicas no âmbito municipal, ou no contexto econômico, financeiro, social e/ou urbano.</w:t>
      </w:r>
    </w:p>
    <w:p w14:paraId="16C6AAC8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E652F82" w14:textId="674B639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>§ 1º</w:t>
      </w:r>
      <w:r w:rsidRPr="006B612E">
        <w:rPr>
          <w:rFonts w:eastAsia="Calibri"/>
        </w:rPr>
        <w:t xml:space="preserve"> Por ocasião da elaboração das leis orçamentárias anuais ou das que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autorizarem a abertura de créditos adicionais, assim como da lei de diretrizes orçamentárias,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poderão ser criadas, no âmbito de cada programa, novas ações ou modificações das já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existentes.</w:t>
      </w:r>
    </w:p>
    <w:p w14:paraId="5E11E16F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249059C" w14:textId="5D63D884" w:rsidR="006B612E" w:rsidRPr="00AB6F77" w:rsidRDefault="006B612E" w:rsidP="006B612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B612E">
        <w:rPr>
          <w:rFonts w:eastAsia="Calibri"/>
          <w:b/>
          <w:bCs/>
        </w:rPr>
        <w:t xml:space="preserve">§ 2º </w:t>
      </w:r>
      <w:r w:rsidRPr="006B612E">
        <w:rPr>
          <w:rFonts w:eastAsia="Calibri"/>
        </w:rPr>
        <w:t>Para efeito do disposto no § 1</w:t>
      </w:r>
      <w:r>
        <w:rPr>
          <w:rFonts w:eastAsia="Calibri"/>
        </w:rPr>
        <w:t>º</w:t>
      </w:r>
      <w:r w:rsidRPr="006B612E">
        <w:rPr>
          <w:rFonts w:eastAsia="Calibri"/>
        </w:rPr>
        <w:t xml:space="preserve"> deste artigo, a criação de nova ação ou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modificações das já existentes deverão observar a compatibilidade com os objetivos e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indicadores de um ou mais programas, devendo constar, do respectivo projeto de lei, as metas</w:t>
      </w:r>
      <w:r>
        <w:rPr>
          <w:rFonts w:eastAsia="Calibri"/>
        </w:rPr>
        <w:t xml:space="preserve"> </w:t>
      </w:r>
      <w:r w:rsidRPr="006B612E">
        <w:rPr>
          <w:rFonts w:eastAsia="Calibri"/>
        </w:rPr>
        <w:t>físicas e financeiras correspondentes.</w:t>
      </w:r>
    </w:p>
    <w:p w14:paraId="5521292C" w14:textId="77777777" w:rsidR="009A38EE" w:rsidRDefault="009A38EE" w:rsidP="00B95AB7">
      <w:pPr>
        <w:autoSpaceDE w:val="0"/>
        <w:autoSpaceDN w:val="0"/>
        <w:adjustRightInd w:val="0"/>
        <w:ind w:firstLine="4502"/>
        <w:jc w:val="both"/>
      </w:pPr>
    </w:p>
    <w:p w14:paraId="1998684C" w14:textId="45135334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Art. 5º </w:t>
      </w:r>
      <w:r w:rsidRPr="006B612E">
        <w:t>Para fins de avaliação, os valores dos Programas e das Ações</w:t>
      </w:r>
      <w:r>
        <w:t xml:space="preserve"> </w:t>
      </w:r>
      <w:r w:rsidRPr="006B612E">
        <w:t>est</w:t>
      </w:r>
      <w:r>
        <w:t>a</w:t>
      </w:r>
      <w:r w:rsidR="00BE6251">
        <w:t>be</w:t>
      </w:r>
      <w:r w:rsidRPr="006B612E">
        <w:t>lecidos nesta lei foram calculados a preços médios, praticados durante o exercício de</w:t>
      </w:r>
      <w:r>
        <w:t xml:space="preserve"> 2025, podendo ser reajustados durante a vigência deste Plano Plurianual, quando da elaboração da Lei de Diretrizes Orçamentárias (LDO) e da Lei Orçamentária Anual (LOA).</w:t>
      </w:r>
    </w:p>
    <w:p w14:paraId="222D5A3F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6B48DC3D" w14:textId="2E8F026E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Art. 6º </w:t>
      </w:r>
      <w:r w:rsidRPr="006B612E">
        <w:t>As diretrizes de elaboração do Plano Plurianual 2026-2029 de Mogi das</w:t>
      </w:r>
      <w:r>
        <w:t xml:space="preserve"> </w:t>
      </w:r>
      <w:r w:rsidRPr="006B612E">
        <w:t>Cruzes foram construídas no sentido de contribuir com o desenvolvimento de capacidades em</w:t>
      </w:r>
      <w:r>
        <w:t xml:space="preserve"> </w:t>
      </w:r>
      <w:r w:rsidRPr="006B612E">
        <w:t>âmbito local, com base nas metas estabelecidas nos Objetivos de Desenvolvimento Sustentável</w:t>
      </w:r>
      <w:r>
        <w:t xml:space="preserve"> </w:t>
      </w:r>
      <w:r w:rsidRPr="006B612E">
        <w:t>(ODS), disseminadas pelo Programa das Nações Unidas para o Desenvolvimento (PNUD), se</w:t>
      </w:r>
      <w:r>
        <w:t xml:space="preserve"> </w:t>
      </w:r>
      <w:r w:rsidRPr="006B612E">
        <w:t>tratando de um conjunto de 17 (dezessete) objetivos a serem alcançados de maneira global até</w:t>
      </w:r>
      <w:r>
        <w:t xml:space="preserve"> </w:t>
      </w:r>
      <w:r w:rsidRPr="006B612E">
        <w:t>2030, quais sejam:</w:t>
      </w:r>
    </w:p>
    <w:p w14:paraId="6D1AA0D6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6577D908" w14:textId="5B073AB7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I </w:t>
      </w:r>
      <w:r w:rsidRPr="006B612E">
        <w:t>- erradicar a pobreza: acabar com a pobreza em todas as suas formas e em</w:t>
      </w:r>
      <w:r>
        <w:t xml:space="preserve"> </w:t>
      </w:r>
      <w:r w:rsidRPr="006B612E">
        <w:t>todos os lugares;</w:t>
      </w:r>
    </w:p>
    <w:p w14:paraId="087A6982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14A7738D" w14:textId="6323BD36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  <w:r>
        <w:rPr>
          <w:b/>
          <w:bCs/>
        </w:rPr>
        <w:t>II</w:t>
      </w:r>
      <w:r w:rsidRPr="006B612E">
        <w:rPr>
          <w:b/>
          <w:bCs/>
        </w:rPr>
        <w:t xml:space="preserve">- </w:t>
      </w:r>
      <w:r w:rsidRPr="006B612E">
        <w:t>fome zero e agricultura sustentável: acabar com a fome, alcançar a segurança</w:t>
      </w:r>
      <w:r>
        <w:t xml:space="preserve"> </w:t>
      </w:r>
      <w:r w:rsidRPr="006B612E">
        <w:t>alimentar e a melhoria da nutrição e promover a agricultura sustentável;</w:t>
      </w:r>
    </w:p>
    <w:p w14:paraId="4AB0A552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01915E6" w14:textId="59B02280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III </w:t>
      </w:r>
      <w:r w:rsidRPr="006B612E">
        <w:t>- saúde e bem-estar: assegurar uma vida saudável e promover o bem-estar</w:t>
      </w:r>
      <w:r>
        <w:t xml:space="preserve"> </w:t>
      </w:r>
      <w:r w:rsidRPr="006B612E">
        <w:t>para todos e em todas as idades;</w:t>
      </w:r>
    </w:p>
    <w:p w14:paraId="0D22C94F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6376AA85" w14:textId="0FDAA43E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IV </w:t>
      </w:r>
      <w:r w:rsidRPr="006B612E">
        <w:t>- educação de qualidade: assegurar a educação inclusiva, equitativa e de</w:t>
      </w:r>
      <w:r>
        <w:t xml:space="preserve"> </w:t>
      </w:r>
      <w:r w:rsidRPr="006B612E">
        <w:t>qualidade, bem como promover oportunidades de aprendizagem ao longo da vida para todos;</w:t>
      </w:r>
    </w:p>
    <w:p w14:paraId="71E9BFBC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DD76C83" w14:textId="17EAC17A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V </w:t>
      </w:r>
      <w:r w:rsidRPr="006B612E">
        <w:t>- igualdade de gênero: alcançar a igualdade de gênero e empoderar todas as</w:t>
      </w:r>
      <w:r>
        <w:t xml:space="preserve"> </w:t>
      </w:r>
      <w:r w:rsidRPr="006B612E">
        <w:t>mulheres e meninas;</w:t>
      </w:r>
    </w:p>
    <w:p w14:paraId="2568FCB0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168CF74E" w14:textId="2EDBE62B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VI </w:t>
      </w:r>
      <w:r w:rsidRPr="006B612E">
        <w:t>- água potável e saneamento: garantir disponibilidade e manejo sustentável</w:t>
      </w:r>
      <w:r>
        <w:t xml:space="preserve"> </w:t>
      </w:r>
      <w:r w:rsidRPr="006B612E">
        <w:t>da água e saneamento para todos;</w:t>
      </w:r>
    </w:p>
    <w:p w14:paraId="078DE586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252CBBEC" w14:textId="5E3C6FAD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VII </w:t>
      </w:r>
      <w:r w:rsidRPr="006B612E">
        <w:t>- energia acessível e limpa: garantir acesso à energia barata, confiável,</w:t>
      </w:r>
      <w:r>
        <w:t xml:space="preserve"> </w:t>
      </w:r>
      <w:r w:rsidRPr="006B612E">
        <w:t>sustentável e renovável para todos;</w:t>
      </w:r>
    </w:p>
    <w:p w14:paraId="29FDF8F5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184AE6B0" w14:textId="03E43EEB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VIII </w:t>
      </w:r>
      <w:r w:rsidRPr="006B612E">
        <w:t>- trabalho decente e crescimento econom1co: promover o crescimento</w:t>
      </w:r>
      <w:r>
        <w:t xml:space="preserve"> </w:t>
      </w:r>
      <w:r w:rsidRPr="006B612E">
        <w:t>econômico sustentado, inclusivo e sustentável, emprego pleno e produtivo e trabalho decente</w:t>
      </w:r>
      <w:r>
        <w:t xml:space="preserve"> </w:t>
      </w:r>
      <w:r w:rsidRPr="006B612E">
        <w:t>para todos;</w:t>
      </w:r>
    </w:p>
    <w:p w14:paraId="6CB60AB2" w14:textId="77777777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3FCB3983" w14:textId="11D15370" w:rsidR="006B612E" w:rsidRP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IX </w:t>
      </w:r>
      <w:r w:rsidRPr="006B612E">
        <w:t>- indústria, inovação e infraestrutura: construir infraestrutura resiliente,</w:t>
      </w:r>
      <w:r>
        <w:t xml:space="preserve"> </w:t>
      </w:r>
      <w:r w:rsidRPr="006B612E">
        <w:t>promover a industrialização inclusiva e sustentável e fomentar a inovação;</w:t>
      </w:r>
    </w:p>
    <w:p w14:paraId="4939FAC9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754085D" w14:textId="2ADCA0AD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X </w:t>
      </w:r>
      <w:r w:rsidRPr="006B612E">
        <w:t>- redução das desigualdades: reduzir a desigualdade dentro dos países e entre</w:t>
      </w:r>
      <w:r>
        <w:t xml:space="preserve"> </w:t>
      </w:r>
      <w:r w:rsidRPr="006B612E">
        <w:t>eles;</w:t>
      </w:r>
    </w:p>
    <w:p w14:paraId="3F7DBF3B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201800D9" w14:textId="5C16466D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XI </w:t>
      </w:r>
      <w:r w:rsidRPr="006B612E">
        <w:t>- cidades e comunidades sustentáveis: tornar as cidades e os assentamentos</w:t>
      </w:r>
      <w:r>
        <w:t xml:space="preserve"> </w:t>
      </w:r>
      <w:r w:rsidRPr="006B612E">
        <w:t>humanos inclusivas, seguros, resilientes e sustentáveis;</w:t>
      </w:r>
    </w:p>
    <w:p w14:paraId="458304D7" w14:textId="77777777" w:rsidR="006B612E" w:rsidRDefault="006B612E" w:rsidP="006B612E">
      <w:pPr>
        <w:autoSpaceDE w:val="0"/>
        <w:autoSpaceDN w:val="0"/>
        <w:adjustRightInd w:val="0"/>
        <w:ind w:firstLine="4502"/>
        <w:jc w:val="both"/>
      </w:pPr>
    </w:p>
    <w:p w14:paraId="72D1BEA3" w14:textId="2E60686B" w:rsidR="006B612E" w:rsidRDefault="006B612E" w:rsidP="006B612E">
      <w:pPr>
        <w:autoSpaceDE w:val="0"/>
        <w:autoSpaceDN w:val="0"/>
        <w:adjustRightInd w:val="0"/>
        <w:ind w:firstLine="4502"/>
        <w:jc w:val="both"/>
      </w:pPr>
      <w:r w:rsidRPr="006B612E">
        <w:rPr>
          <w:b/>
          <w:bCs/>
        </w:rPr>
        <w:t xml:space="preserve">XII </w:t>
      </w:r>
      <w:r w:rsidRPr="006B612E">
        <w:t>- consumo e produções responsáveis: assegurar padrões de produção e de</w:t>
      </w:r>
      <w:r>
        <w:t xml:space="preserve"> consumo </w:t>
      </w:r>
      <w:r w:rsidR="005D42AA">
        <w:t>sustentáveis;</w:t>
      </w:r>
    </w:p>
    <w:p w14:paraId="6939617D" w14:textId="77777777" w:rsidR="005D42AA" w:rsidRDefault="005D42AA" w:rsidP="006B612E">
      <w:pPr>
        <w:autoSpaceDE w:val="0"/>
        <w:autoSpaceDN w:val="0"/>
        <w:adjustRightInd w:val="0"/>
        <w:ind w:firstLine="4502"/>
        <w:jc w:val="both"/>
      </w:pPr>
    </w:p>
    <w:p w14:paraId="2B8425EF" w14:textId="2AAF7072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XIII </w:t>
      </w:r>
      <w:r w:rsidRPr="005D42AA">
        <w:t>- ação contra a mudança global do clima: tomar medidas urgentes para</w:t>
      </w:r>
      <w:r>
        <w:t xml:space="preserve"> </w:t>
      </w:r>
      <w:r w:rsidRPr="005D42AA">
        <w:t>combater a mudança climática e seus impactos;</w:t>
      </w:r>
    </w:p>
    <w:p w14:paraId="7D46F42E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A980C22" w14:textId="320E045B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XIV </w:t>
      </w:r>
      <w:r w:rsidRPr="005D42AA">
        <w:t>- vida na água: conservação e uso sustentável dos oceanos, dos mares e dos</w:t>
      </w:r>
      <w:r>
        <w:t xml:space="preserve"> </w:t>
      </w:r>
      <w:r w:rsidRPr="005D42AA">
        <w:t>recursos marinhos para o desenvolvimento sustentável;</w:t>
      </w:r>
    </w:p>
    <w:p w14:paraId="0200B231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0C2F6DF" w14:textId="7BE6E949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XV </w:t>
      </w:r>
      <w:r w:rsidRPr="005D42AA">
        <w:t>- vida terrestre: proteger, recuperar e promover o uso sustentável dos</w:t>
      </w:r>
      <w:r>
        <w:t xml:space="preserve"> </w:t>
      </w:r>
      <w:r w:rsidRPr="005D42AA">
        <w:t>ecossistemas terrestres, gerir de forma sustentável as florestas, combater a desertificação, deter</w:t>
      </w:r>
      <w:r>
        <w:t xml:space="preserve"> </w:t>
      </w:r>
      <w:r w:rsidRPr="005D42AA">
        <w:t>e reverter a degradação da terra e deter a perda de biodiversidade;</w:t>
      </w:r>
    </w:p>
    <w:p w14:paraId="188ABA71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2511516" w14:textId="3BCBFF1F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lastRenderedPageBreak/>
        <w:t xml:space="preserve">XVI </w:t>
      </w:r>
      <w:r w:rsidRPr="005D42AA">
        <w:t>- paz, justiça e instituições eficazes: promover sociedades pacíficas e</w:t>
      </w:r>
      <w:r>
        <w:t xml:space="preserve"> </w:t>
      </w:r>
      <w:r w:rsidRPr="005D42AA">
        <w:t>inclusivas para o desenvolvimento sustentável, proporcionar o acesso à justiça para todos e</w:t>
      </w:r>
      <w:r>
        <w:t xml:space="preserve"> </w:t>
      </w:r>
      <w:r w:rsidRPr="005D42AA">
        <w:t>construir instituições eficazes, responsáveis e inclusivas em todos os níveis;</w:t>
      </w:r>
    </w:p>
    <w:p w14:paraId="59BC8538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7076362" w14:textId="77D008C2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XVII </w:t>
      </w:r>
      <w:r w:rsidRPr="005D42AA">
        <w:t>- parcerias e meios de implementação: fortalecer os meios de</w:t>
      </w:r>
      <w:r>
        <w:t xml:space="preserve"> </w:t>
      </w:r>
      <w:r w:rsidRPr="005D42AA">
        <w:t>implementação e revitalizar a parceria global para o desenvolvimento sustentável.</w:t>
      </w:r>
    </w:p>
    <w:p w14:paraId="596DAA8B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0190392" w14:textId="6FDAB89F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>Art. 7º</w:t>
      </w:r>
      <w:r w:rsidRPr="005D42AA">
        <w:t xml:space="preserve"> O planejamento da base estratégica do Plano Plurianual 2026-2029 foi</w:t>
      </w:r>
      <w:r>
        <w:t xml:space="preserve"> </w:t>
      </w:r>
      <w:r w:rsidRPr="005D42AA">
        <w:t>organizado por meio de eixos estratégicos, a saber:</w:t>
      </w:r>
    </w:p>
    <w:p w14:paraId="01F2E5DE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5AAAB900" w14:textId="34E9A1DA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>I</w:t>
      </w:r>
      <w:r w:rsidRPr="005D42AA">
        <w:t xml:space="preserve"> - Mogi das Cruzes, Cidade da Primeira Infância;</w:t>
      </w:r>
    </w:p>
    <w:p w14:paraId="006D440F" w14:textId="77777777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62882159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>II</w:t>
      </w:r>
      <w:r w:rsidRPr="005D42AA">
        <w:t xml:space="preserve"> - A Saúde em Primeiro Lugar - Toda Vida Importa;</w:t>
      </w:r>
    </w:p>
    <w:p w14:paraId="6260BC99" w14:textId="77777777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1B742D79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III </w:t>
      </w:r>
      <w:r w:rsidRPr="005D42AA">
        <w:t>- Habitação - Direito Social Básico e Humano;</w:t>
      </w:r>
    </w:p>
    <w:p w14:paraId="38A72B62" w14:textId="77777777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53014223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IV </w:t>
      </w:r>
      <w:r w:rsidRPr="005D42AA">
        <w:t>- Mogi, uma Cidade Segura;</w:t>
      </w:r>
    </w:p>
    <w:p w14:paraId="52AE9252" w14:textId="77777777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725327FB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V </w:t>
      </w:r>
      <w:r w:rsidRPr="005D42AA">
        <w:t>- Mogi Caminha;</w:t>
      </w:r>
    </w:p>
    <w:p w14:paraId="03D09B9C" w14:textId="77777777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7B31BE44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VI </w:t>
      </w:r>
      <w:r w:rsidRPr="005D42AA">
        <w:t>- Mogi, uma Cidade Acolhedora.</w:t>
      </w:r>
    </w:p>
    <w:p w14:paraId="767B9E93" w14:textId="77777777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04E692E9" w14:textId="68001A6B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Art. 8º </w:t>
      </w:r>
      <w:r w:rsidRPr="005D42AA">
        <w:t>A base estratégica que norteia o, Plano Plurianual, referente ao período</w:t>
      </w:r>
      <w:r>
        <w:t xml:space="preserve"> </w:t>
      </w:r>
      <w:r w:rsidRPr="005D42AA">
        <w:t>de 2026 a 2029, foi baseada nos seguintes objetivos estratégicos:</w:t>
      </w:r>
    </w:p>
    <w:p w14:paraId="6349EFD1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66C39818" w14:textId="20B4AA31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>I -</w:t>
      </w:r>
      <w:r w:rsidRPr="005D42AA">
        <w:t xml:space="preserve"> garantir o acesso às creches; a universalização da pré-escola e da educação</w:t>
      </w:r>
      <w:r>
        <w:t xml:space="preserve"> </w:t>
      </w:r>
      <w:r w:rsidRPr="005D42AA">
        <w:t>infantil; garantir escuta especializada e atendimento de crianças vítimas de violência; fortalecer</w:t>
      </w:r>
      <w:r>
        <w:t xml:space="preserve"> </w:t>
      </w:r>
      <w:r w:rsidRPr="005D42AA">
        <w:t>as ações preventivas, a fim de assegurar os direitos das crianças; promover o aumento da renda</w:t>
      </w:r>
      <w:r>
        <w:t xml:space="preserve"> </w:t>
      </w:r>
      <w:r w:rsidRPr="005D42AA">
        <w:t>das famílias com crianças de até 6 (seis) anos; garantir a segurança alimentar e nutricional das</w:t>
      </w:r>
      <w:r>
        <w:t xml:space="preserve"> </w:t>
      </w:r>
      <w:r w:rsidRPr="005D42AA">
        <w:t>gestantes e das crianças de O (zero) a 6 (seis) anos; garantir a vacinação das crianças de até 6</w:t>
      </w:r>
      <w:r>
        <w:t xml:space="preserve"> (seis) anos; </w:t>
      </w:r>
      <w:r w:rsidRPr="005D42AA">
        <w:t>a</w:t>
      </w:r>
      <w:r>
        <w:t>pri</w:t>
      </w:r>
      <w:r w:rsidRPr="005D42AA">
        <w:t>morar a Rede Básica de Atenção Primária à Saúde; garantir e universalizar o</w:t>
      </w:r>
      <w:r>
        <w:t xml:space="preserve"> atendimento pré-natal e o aleitamento materno; garantir uma cidade segura e uma mobilidade ativa para a Primeira Infância; garantir o acesso ao esporte, ao lazer e à cultura;</w:t>
      </w:r>
    </w:p>
    <w:p w14:paraId="512065AC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6985EE8C" w14:textId="1688FDBB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>II -</w:t>
      </w:r>
      <w:r w:rsidRPr="005D42AA">
        <w:t xml:space="preserve"> promover uma cidade mais inclusiva, segura e resiliente, por meio de ações</w:t>
      </w:r>
      <w:r>
        <w:t xml:space="preserve"> </w:t>
      </w:r>
      <w:r w:rsidRPr="005D42AA">
        <w:t>integradas nas áreas sociais, com foco no fortalecimento dos vínculos familiares e comunitários,</w:t>
      </w:r>
      <w:r>
        <w:t xml:space="preserve"> </w:t>
      </w:r>
      <w:r w:rsidRPr="005D42AA">
        <w:t>bem como garantir proteção e desenvolvimento a pessoas em situação de extrema</w:t>
      </w:r>
      <w:r>
        <w:t xml:space="preserve"> </w:t>
      </w:r>
      <w:r w:rsidRPr="005D42AA">
        <w:t>vulnerabilidade, inovando e qualificando os serviços de acolhimento e centros de referência;</w:t>
      </w:r>
    </w:p>
    <w:p w14:paraId="1AAA13D9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A9CDB69" w14:textId="5F5A64A1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III </w:t>
      </w:r>
      <w:r w:rsidRPr="005D42AA">
        <w:t>- aumentar o número de escolas de tempo integral, através da construção de</w:t>
      </w:r>
      <w:r>
        <w:t xml:space="preserve"> </w:t>
      </w:r>
      <w:r w:rsidRPr="005D42AA">
        <w:t>novos Centros Municipais de Programas Educacionais - CEMPRE's; promover a valorização</w:t>
      </w:r>
      <w:r>
        <w:t xml:space="preserve"> </w:t>
      </w:r>
      <w:r w:rsidRPr="005D42AA">
        <w:t>dos profissionais da Educação; implantar o Projeto "Horta Agroecológica" nas unidades</w:t>
      </w:r>
      <w:r>
        <w:t xml:space="preserve"> </w:t>
      </w:r>
      <w:r w:rsidRPr="005D42AA">
        <w:t>escolares, por meio da promoção da Educação Ambiental; fomentar e incentivar a instalação de</w:t>
      </w:r>
      <w:r>
        <w:t xml:space="preserve"> </w:t>
      </w:r>
      <w:r w:rsidRPr="005D42AA">
        <w:t>bibliotecas nas escolas; ampliar e reformar as Escolas Municipais;</w:t>
      </w:r>
    </w:p>
    <w:p w14:paraId="7005FFED" w14:textId="77777777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65620A17" w14:textId="63DAC9A8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IV </w:t>
      </w:r>
      <w:r w:rsidRPr="005D42AA">
        <w:t>- garantir o acesso universal à saúde de qualidade, promovendo o bem-estar</w:t>
      </w:r>
      <w:r>
        <w:t xml:space="preserve"> </w:t>
      </w:r>
      <w:r w:rsidRPr="005D42AA">
        <w:t xml:space="preserve">da população por meio de ações integradas de promoção, prevenção, assistência </w:t>
      </w:r>
      <w:r w:rsidRPr="005D42AA">
        <w:lastRenderedPageBreak/>
        <w:t>e vigilância</w:t>
      </w:r>
      <w:r>
        <w:t xml:space="preserve"> </w:t>
      </w:r>
      <w:r w:rsidRPr="005D42AA">
        <w:t>em saúde, com equidade, eficiência e sustentabilidade, visando a melhoria contínua dos</w:t>
      </w:r>
      <w:r>
        <w:t xml:space="preserve"> </w:t>
      </w:r>
      <w:r w:rsidRPr="005D42AA">
        <w:t>indicadores de saúde e de qualidade de vida;</w:t>
      </w:r>
    </w:p>
    <w:p w14:paraId="033722DB" w14:textId="77777777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43204B2B" w14:textId="0BE16D53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V </w:t>
      </w:r>
      <w:r w:rsidRPr="005D42AA">
        <w:t>- realizar a gestão da política habitacional do Município e a interface com</w:t>
      </w:r>
      <w:r>
        <w:t xml:space="preserve"> </w:t>
      </w:r>
      <w:r w:rsidRPr="005D42AA">
        <w:t>outras esferas de Governo, na busca de parcerias e convênios que possam ser implementados;</w:t>
      </w:r>
      <w:r>
        <w:t xml:space="preserve"> </w:t>
      </w:r>
      <w:r w:rsidRPr="005D42AA">
        <w:t>promover a construção de moradias e adequação de domicílios; coordenar os programas de</w:t>
      </w:r>
      <w:r>
        <w:t xml:space="preserve"> </w:t>
      </w:r>
      <w:r w:rsidRPr="005D42AA">
        <w:t>regularização fundiária, em parceria com o Governo do Estado e com o Governo Federal;</w:t>
      </w:r>
    </w:p>
    <w:p w14:paraId="4610CA25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5A65876" w14:textId="40F30089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VI </w:t>
      </w:r>
      <w:r w:rsidRPr="005D42AA">
        <w:t>- planejar e readequar a infraestrutura urbana para a mobilidade ativa,</w:t>
      </w:r>
      <w:r>
        <w:t xml:space="preserve"> </w:t>
      </w:r>
      <w:r w:rsidRPr="005D42AA">
        <w:t>prezando pela máxima segurança viária, por meio de intervenções de engenharia, que melhorem</w:t>
      </w:r>
      <w:r>
        <w:t xml:space="preserve"> </w:t>
      </w:r>
      <w:r w:rsidRPr="005D42AA">
        <w:t>a circulação, e de programas intersetoriais de educação para o trânsito; tomar o transporte</w:t>
      </w:r>
      <w:r>
        <w:t xml:space="preserve"> </w:t>
      </w:r>
      <w:r w:rsidRPr="005D42AA">
        <w:t>público mais atraente que o individual motorizado, implementando novas tecnologias,</w:t>
      </w:r>
      <w:r>
        <w:t xml:space="preserve"> </w:t>
      </w:r>
      <w:r w:rsidRPr="005D42AA">
        <w:t>integrando modais e redesenhando o Sistema de Mobilidade a partir da visão dos polos de</w:t>
      </w:r>
      <w:r>
        <w:t xml:space="preserve"> </w:t>
      </w:r>
      <w:r w:rsidRPr="005D42AA">
        <w:t>tráfego e das centralidades urbanas;</w:t>
      </w:r>
    </w:p>
    <w:p w14:paraId="52A8D5FF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C31CB6F" w14:textId="03A577E0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VII </w:t>
      </w:r>
      <w:r w:rsidRPr="005D42AA">
        <w:t>- construir, melhorar, adaptar e ampliar edificações, equipamentos,</w:t>
      </w:r>
      <w:r>
        <w:t xml:space="preserve"> </w:t>
      </w:r>
      <w:r w:rsidRPr="005D42AA">
        <w:t>estruturas e logradouros públicos, visando a melhoria da qualidade de vida do Munícipio;</w:t>
      </w:r>
    </w:p>
    <w:p w14:paraId="299FCB6F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BC421C3" w14:textId="41FEB496" w:rsidR="005D42AA" w:rsidRP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VIII </w:t>
      </w:r>
      <w:r w:rsidRPr="005D42AA">
        <w:t>- promover o desenvolvimento urbano sustentável, resiliente e inteligente,</w:t>
      </w:r>
      <w:r>
        <w:t xml:space="preserve"> </w:t>
      </w:r>
      <w:r w:rsidRPr="005D42AA">
        <w:t>por meio do fortalecimento do planejamento territorial integrado, da modernização dos</w:t>
      </w:r>
      <w:r>
        <w:t xml:space="preserve"> </w:t>
      </w:r>
      <w:r w:rsidRPr="005D42AA">
        <w:t>instrumentos de gestão urbana e do uso de tecnologias avançadas, como BIM (Building lnformation Modeling), geoprocessamento, análise data-driven e inteligência artificial;</w:t>
      </w:r>
    </w:p>
    <w:p w14:paraId="5BEA9633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A1003C7" w14:textId="058F6805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5D42AA">
        <w:rPr>
          <w:b/>
          <w:bCs/>
        </w:rPr>
        <w:t xml:space="preserve">IX </w:t>
      </w:r>
      <w:r w:rsidRPr="005D42AA">
        <w:t>- ampliar e modernizar o Sistema de Iluminação Pública, substituindo as</w:t>
      </w:r>
      <w:r>
        <w:t xml:space="preserve"> </w:t>
      </w:r>
      <w:r w:rsidRPr="005D42AA">
        <w:t>luminárias de vapor de sódio/mercúrio por lâmpadas de led, que oferecem mais qualidade e</w:t>
      </w:r>
      <w:r>
        <w:t xml:space="preserve"> </w:t>
      </w:r>
      <w:r w:rsidRPr="005D42AA">
        <w:t>promovem economia ao Município;</w:t>
      </w:r>
    </w:p>
    <w:p w14:paraId="4502CBAF" w14:textId="77777777" w:rsidR="005D42AA" w:rsidRDefault="005D42AA" w:rsidP="005D42AA">
      <w:pPr>
        <w:autoSpaceDE w:val="0"/>
        <w:autoSpaceDN w:val="0"/>
        <w:adjustRightInd w:val="0"/>
        <w:ind w:firstLine="4502"/>
        <w:jc w:val="both"/>
      </w:pPr>
    </w:p>
    <w:p w14:paraId="784828A7" w14:textId="3DCAC52F" w:rsidR="005D42AA" w:rsidRDefault="005D42AA" w:rsidP="005D42AA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X </w:t>
      </w:r>
      <w:r>
        <w:t>- estimular o empreendedorismo e a economia local, oferecendo apoio técnico, capacitações e incentivos a micro e pequenas empresas e empreendedores individuais; ampliar a geração de emprego e renda, por meio de programas de capacitação profissional, intermediação de mão-de-obra e apoio à economia solidária</w:t>
      </w:r>
      <w:r w:rsidR="0006573F">
        <w:t>; atrair investimentos e impulsionar setores estratégicos, como indústria, comércio, entre outros;</w:t>
      </w:r>
    </w:p>
    <w:p w14:paraId="153B4276" w14:textId="77777777" w:rsidR="0006573F" w:rsidRDefault="0006573F" w:rsidP="005D42AA">
      <w:pPr>
        <w:autoSpaceDE w:val="0"/>
        <w:autoSpaceDN w:val="0"/>
        <w:adjustRightInd w:val="0"/>
        <w:ind w:firstLine="4502"/>
        <w:jc w:val="both"/>
      </w:pPr>
    </w:p>
    <w:p w14:paraId="46E13B16" w14:textId="1D4042FE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XI </w:t>
      </w:r>
      <w:r w:rsidRPr="0006573F">
        <w:t>- mitigar os efeitos das mudanças climáticas; promover a conscientização</w:t>
      </w:r>
      <w:r>
        <w:t xml:space="preserve"> </w:t>
      </w:r>
      <w:r w:rsidRPr="0006573F">
        <w:t>sobre a guarda responsável de animais, incentivar a adoção de cães e gatos resgatados, combater</w:t>
      </w:r>
      <w:r>
        <w:t xml:space="preserve"> </w:t>
      </w:r>
      <w:r w:rsidRPr="0006573F">
        <w:t>o abandono e os maus-tratos; realizar a gestão de resíduos sólidos recicláveis, visando aumentar</w:t>
      </w:r>
      <w:r>
        <w:t xml:space="preserve"> </w:t>
      </w:r>
      <w:r w:rsidRPr="0006573F">
        <w:t>a quantidade de materiais destinados à reciclagem;</w:t>
      </w:r>
    </w:p>
    <w:p w14:paraId="2C2D3B40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0D6750E" w14:textId="290F0315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XII </w:t>
      </w:r>
      <w:r w:rsidRPr="0006573F">
        <w:t>- promover a segurança e o bem-estar da população por meio da atuação</w:t>
      </w:r>
      <w:r>
        <w:t xml:space="preserve"> </w:t>
      </w:r>
      <w:r w:rsidRPr="0006573F">
        <w:t>integrada da Defesa Civil, da Guarda Civil Municipal - GCM e da Fiscalização de Posturas,</w:t>
      </w:r>
      <w:r>
        <w:t xml:space="preserve"> </w:t>
      </w:r>
      <w:r w:rsidRPr="0006573F">
        <w:t>assegurando a ordem pública, a proteção da vida e do patrimônio, a prevenção de riscos e</w:t>
      </w:r>
      <w:r>
        <w:t xml:space="preserve"> </w:t>
      </w:r>
      <w:r w:rsidRPr="0006573F">
        <w:t>desastres, e o cumprimento das normas municipais;</w:t>
      </w:r>
    </w:p>
    <w:p w14:paraId="5BBAEE71" w14:textId="7777777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0BDD6D54" w14:textId="3AD0C61D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XIII </w:t>
      </w:r>
      <w:r w:rsidRPr="0006573F">
        <w:t xml:space="preserve">- diversificar a economia local e promover o desenvolvimento </w:t>
      </w:r>
      <w:r>
        <w:t>terr</w:t>
      </w:r>
      <w:r w:rsidRPr="0006573F">
        <w:t>itorial</w:t>
      </w:r>
      <w:r>
        <w:t xml:space="preserve"> </w:t>
      </w:r>
      <w:r w:rsidRPr="0006573F">
        <w:t>equilibrado, valorizando o potencial agropecuário e turístico-rural; consolidar e modernizar os</w:t>
      </w:r>
      <w:r>
        <w:t xml:space="preserve"> </w:t>
      </w:r>
      <w:r w:rsidRPr="0006573F">
        <w:t>setores atacadista e varejista, garantindo a segurança alimentar no Município e região,</w:t>
      </w:r>
      <w:r>
        <w:t xml:space="preserve"> </w:t>
      </w:r>
      <w:r w:rsidRPr="0006573F">
        <w:t>fortalecendo a identidade agrícola e a valorização dos produtos locais, modernizando a estrutura</w:t>
      </w:r>
      <w:r>
        <w:t xml:space="preserve"> </w:t>
      </w:r>
      <w:r w:rsidRPr="0006573F">
        <w:t xml:space="preserve">de </w:t>
      </w:r>
      <w:r w:rsidRPr="0006573F">
        <w:lastRenderedPageBreak/>
        <w:t>abastecimento e distribuição e aprimorando o arcabouço técnico-jurídico de apoio aos</w:t>
      </w:r>
      <w:r>
        <w:t xml:space="preserve"> </w:t>
      </w:r>
      <w:r w:rsidRPr="0006573F">
        <w:t>produtores e distribuidores;</w:t>
      </w:r>
    </w:p>
    <w:p w14:paraId="079AD7A8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8E739AE" w14:textId="24CBC888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XIV </w:t>
      </w:r>
      <w:r w:rsidRPr="0006573F">
        <w:t>- apoio à diversidade cultural, ao acesso à cultura, ao desenvolvimento</w:t>
      </w:r>
      <w:r>
        <w:t xml:space="preserve"> </w:t>
      </w:r>
      <w:r w:rsidRPr="0006573F">
        <w:t>cultural, à preservação do patrimônio e ao incentivo à economia criativa; descentralizar os</w:t>
      </w:r>
      <w:r>
        <w:t xml:space="preserve"> </w:t>
      </w:r>
      <w:r w:rsidRPr="0006573F">
        <w:t>programas e projetos culturais para os bairros e distritos;</w:t>
      </w:r>
    </w:p>
    <w:p w14:paraId="7295C4F0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A85E7E8" w14:textId="43FCE453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XV </w:t>
      </w:r>
      <w:r w:rsidRPr="0006573F">
        <w:t>- fomentar o esporte de alto rendimento nas diversas modalidades, por meio</w:t>
      </w:r>
      <w:r>
        <w:t xml:space="preserve"> </w:t>
      </w:r>
      <w:r w:rsidRPr="0006573F">
        <w:t>da ampliação da formação de atletas de base nos Centros Desportivos Municipais; estimular a</w:t>
      </w:r>
      <w:r>
        <w:t xml:space="preserve"> </w:t>
      </w:r>
      <w:r w:rsidRPr="0006573F">
        <w:t>prática esportiva e recreativa para idosos e pessoas deficientes;</w:t>
      </w:r>
    </w:p>
    <w:p w14:paraId="685A5114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420C8EA" w14:textId="757CD146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XVI </w:t>
      </w:r>
      <w:r w:rsidRPr="0006573F">
        <w:t>- enfrentamento a todas as formas de violência contra a mulher, garantindo</w:t>
      </w:r>
      <w:r>
        <w:t xml:space="preserve"> </w:t>
      </w:r>
      <w:r w:rsidRPr="0006573F">
        <w:t>proteção, acolhimento, justiça e prevenção para as mulheres em situação de violência,</w:t>
      </w:r>
      <w:r>
        <w:t xml:space="preserve"> </w:t>
      </w:r>
      <w:r w:rsidRPr="0006573F">
        <w:t>promovendo ações integradas que combatam todas as fom1as de violência de gênero, com</w:t>
      </w:r>
      <w:r>
        <w:t xml:space="preserve"> </w:t>
      </w:r>
      <w:r w:rsidRPr="0006573F">
        <w:t>atenção especial às mulheres negras, com deficiência, LGBTQIAPN+ e em situação de</w:t>
      </w:r>
      <w:r>
        <w:t xml:space="preserve"> </w:t>
      </w:r>
      <w:r w:rsidRPr="0006573F">
        <w:t>vulnerabilidade; promoção da autonomia econômica, do trabalho e do empreendedorismo das</w:t>
      </w:r>
      <w:r>
        <w:t xml:space="preserve"> </w:t>
      </w:r>
      <w:r w:rsidRPr="0006573F">
        <w:t>mulheres, por meio do acesso ao trabalho decente, qualificação profissional, crédito,</w:t>
      </w:r>
      <w:r>
        <w:t xml:space="preserve"> </w:t>
      </w:r>
      <w:r w:rsidRPr="0006573F">
        <w:t>empreendedorismo e inclusão produtiva, com foco na redução das desigualdades sociais e</w:t>
      </w:r>
      <w:r>
        <w:t xml:space="preserve"> </w:t>
      </w:r>
      <w:r w:rsidRPr="0006573F">
        <w:t>regionais;</w:t>
      </w:r>
    </w:p>
    <w:p w14:paraId="1A3D6254" w14:textId="77777777" w:rsidR="00AB6F77" w:rsidRDefault="00AB6F77" w:rsidP="00B95AB7">
      <w:pPr>
        <w:autoSpaceDE w:val="0"/>
        <w:autoSpaceDN w:val="0"/>
        <w:adjustRightInd w:val="0"/>
        <w:ind w:firstLine="4502"/>
        <w:jc w:val="both"/>
      </w:pPr>
    </w:p>
    <w:p w14:paraId="31A1A858" w14:textId="604ED67F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XVII </w:t>
      </w:r>
      <w:r w:rsidRPr="0006573F">
        <w:t>- promover e assegurar o acesso das mulheres a políticas de saúde integral,</w:t>
      </w:r>
      <w:r>
        <w:t xml:space="preserve"> </w:t>
      </w:r>
      <w:r w:rsidRPr="0006573F">
        <w:t>com ênfase na saúde sexual e reprodutiva, saúde mental e saúde da mulher negra; fomentar a</w:t>
      </w:r>
      <w:r>
        <w:t xml:space="preserve"> </w:t>
      </w:r>
      <w:r w:rsidRPr="0006573F">
        <w:t>Educação para Igualdade e Cultura de Paz, com o objetivo de incorporar a perspectiva de</w:t>
      </w:r>
      <w:r>
        <w:t xml:space="preserve"> </w:t>
      </w:r>
      <w:r w:rsidRPr="0006573F">
        <w:t>gênero, raça e diversidade nas políticas educacionais, promovendo ações de prevenção à</w:t>
      </w:r>
      <w:r>
        <w:t xml:space="preserve"> violência, desconstrução de estereótipos de gênero e promoção da igualdade. </w:t>
      </w:r>
    </w:p>
    <w:p w14:paraId="31441B20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2959D752" w14:textId="2A836F85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Art. 9º </w:t>
      </w:r>
      <w:r w:rsidRPr="0006573F">
        <w:t>Os programas, objetivos e justificativas são apresentados nos Anexos</w:t>
      </w:r>
      <w:r>
        <w:t xml:space="preserve"> integrantes desta lei, conforme as orientações básicas, oriundas dos órgãos de controle externo, e nos manuais expedidos pelos órgãos federais responsáveis pelas normas de orçamento e finanças públicas.</w:t>
      </w:r>
    </w:p>
    <w:p w14:paraId="0E01A885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43F4F442" w14:textId="7777777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Art. 10. </w:t>
      </w:r>
      <w:r w:rsidRPr="0006573F">
        <w:t>Ficam fazendo parte integrante desta lei os seguintes Anexos e Tabelas:</w:t>
      </w:r>
    </w:p>
    <w:p w14:paraId="53167CC6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74B5741" w14:textId="5A5A3E5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I </w:t>
      </w:r>
      <w:r w:rsidRPr="0006573F">
        <w:t>- Anexo I - Fontes de Financiamento dos Programas Governamentais;</w:t>
      </w:r>
    </w:p>
    <w:p w14:paraId="754E1F12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105F12D6" w14:textId="40D2E2A8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II </w:t>
      </w:r>
      <w:r w:rsidRPr="0006573F">
        <w:t>- Anexo II - Descrição dos Programas, Metas e Custos;</w:t>
      </w:r>
    </w:p>
    <w:p w14:paraId="293811BD" w14:textId="7777777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194C4018" w14:textId="052F80B0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III </w:t>
      </w:r>
      <w:r w:rsidRPr="0006573F">
        <w:t>- Anexo III - Unidades Executaras e Ações Voltadas ao Desenvolvimento</w:t>
      </w:r>
      <w:r>
        <w:t xml:space="preserve"> </w:t>
      </w:r>
      <w:r w:rsidRPr="0006573F">
        <w:t>do Programa Governamental;</w:t>
      </w:r>
    </w:p>
    <w:p w14:paraId="6654190D" w14:textId="7777777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1D43A24D" w14:textId="7777777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IV </w:t>
      </w:r>
      <w:r w:rsidRPr="0006573F">
        <w:t>- Anexo IV - Estrutura de Órgãos, Unidades Orçamentárias e Executaras;</w:t>
      </w:r>
    </w:p>
    <w:p w14:paraId="3BE48DD5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6B625AF" w14:textId="4352005B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V </w:t>
      </w:r>
      <w:r w:rsidRPr="0006573F">
        <w:t>- Quadro de Detalhamento do PPA - Programas Governamentais;</w:t>
      </w:r>
    </w:p>
    <w:p w14:paraId="1433E6C1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4D08FE0" w14:textId="4A21F800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lastRenderedPageBreak/>
        <w:t xml:space="preserve">VI </w:t>
      </w:r>
      <w:r w:rsidRPr="0006573F">
        <w:t>- Programas e seus Respectivos Indicadores;</w:t>
      </w:r>
    </w:p>
    <w:p w14:paraId="6DDCF1DD" w14:textId="7777777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602C7464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VII </w:t>
      </w:r>
      <w:r w:rsidRPr="0006573F">
        <w:t>- Programas Finalísticos;</w:t>
      </w:r>
    </w:p>
    <w:p w14:paraId="7E6DBD9C" w14:textId="7777777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247A0F60" w14:textId="77777777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VIII </w:t>
      </w:r>
      <w:r w:rsidRPr="0006573F">
        <w:t>-Resumo do PPA -2026 a 2029.</w:t>
      </w:r>
    </w:p>
    <w:p w14:paraId="2A183F89" w14:textId="77777777" w:rsidR="0006573F" w:rsidRPr="0006573F" w:rsidRDefault="0006573F" w:rsidP="0006573F">
      <w:pPr>
        <w:autoSpaceDE w:val="0"/>
        <w:autoSpaceDN w:val="0"/>
        <w:adjustRightInd w:val="0"/>
        <w:ind w:firstLine="4502"/>
        <w:jc w:val="both"/>
      </w:pPr>
    </w:p>
    <w:p w14:paraId="5CA874C8" w14:textId="7F4A2429" w:rsidR="0006573F" w:rsidRDefault="0006573F" w:rsidP="0006573F">
      <w:pPr>
        <w:autoSpaceDE w:val="0"/>
        <w:autoSpaceDN w:val="0"/>
        <w:adjustRightInd w:val="0"/>
        <w:ind w:firstLine="4502"/>
        <w:jc w:val="both"/>
      </w:pPr>
      <w:r w:rsidRPr="0006573F">
        <w:rPr>
          <w:b/>
          <w:bCs/>
        </w:rPr>
        <w:t xml:space="preserve">Art. 11. </w:t>
      </w:r>
      <w:r w:rsidRPr="0006573F">
        <w:t>Esta lei entrará em vigor no dia 1° de janeiro de 2026.</w:t>
      </w:r>
    </w:p>
    <w:p w14:paraId="1C1FE180" w14:textId="77777777" w:rsidR="0006573F" w:rsidRDefault="0006573F" w:rsidP="0006573F">
      <w:pPr>
        <w:autoSpaceDE w:val="0"/>
        <w:autoSpaceDN w:val="0"/>
        <w:adjustRightInd w:val="0"/>
        <w:jc w:val="both"/>
      </w:pPr>
    </w:p>
    <w:p w14:paraId="274B392D" w14:textId="77777777" w:rsidR="0006573F" w:rsidRPr="00F50593" w:rsidRDefault="0006573F" w:rsidP="00B95AB7">
      <w:pPr>
        <w:autoSpaceDE w:val="0"/>
        <w:autoSpaceDN w:val="0"/>
        <w:adjustRightInd w:val="0"/>
        <w:ind w:firstLine="4502"/>
        <w:jc w:val="both"/>
      </w:pPr>
    </w:p>
    <w:p w14:paraId="410D92DE" w14:textId="3F664FF8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Pr="003711EC">
        <w:t>1</w:t>
      </w:r>
      <w:r w:rsidR="0006573F">
        <w:t>9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36A4BFF1" w:rsidR="003711EC" w:rsidRPr="003711EC" w:rsidRDefault="003711EC" w:rsidP="003711EC">
      <w:pPr>
        <w:jc w:val="center"/>
      </w:pPr>
      <w:r w:rsidRPr="003711EC">
        <w:t>MAR</w:t>
      </w:r>
      <w:r w:rsidR="00291C57">
        <w:t>A</w:t>
      </w:r>
      <w:r w:rsidRPr="003711EC">
        <w:t xml:space="preserve">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7D7D51AC" w:rsidR="003711EC" w:rsidRDefault="0073488E" w:rsidP="003711EC">
      <w:pPr>
        <w:jc w:val="center"/>
      </w:pPr>
      <w:r>
        <w:t>Secretário</w:t>
      </w:r>
      <w:r w:rsidR="003711EC">
        <w:t xml:space="preserve">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5B837E49" w:rsidR="003711EC" w:rsidRDefault="0006573F" w:rsidP="003711EC">
      <w:pPr>
        <w:jc w:val="center"/>
      </w:pPr>
      <w:r>
        <w:t>ROBSON SENZIALI</w:t>
      </w:r>
    </w:p>
    <w:p w14:paraId="51CB88EF" w14:textId="7652EC6E" w:rsidR="003711EC" w:rsidRDefault="003711EC" w:rsidP="003711EC">
      <w:pPr>
        <w:jc w:val="center"/>
      </w:pPr>
      <w:r>
        <w:t>Secretári</w:t>
      </w:r>
      <w:r w:rsidR="0006573F">
        <w:t>o</w:t>
      </w:r>
      <w:r w:rsidR="009A38EE">
        <w:t xml:space="preserve"> de </w:t>
      </w:r>
      <w:r w:rsidR="0006573F">
        <w:t xml:space="preserve">Finanças 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573F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2270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3173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1C57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621F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2C7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A7C2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64ED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2AA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12E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06E6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3488E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16F0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5149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251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4FD6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2539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2026-01-28T16:10:00Z</dcterms:created>
  <dcterms:modified xsi:type="dcterms:W3CDTF">2026-01-28T18:46:00Z</dcterms:modified>
</cp:coreProperties>
</file>